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EB5" w:rsidRPr="003D0A56" w:rsidRDefault="00867EB5" w:rsidP="00405814">
      <w:pPr>
        <w:ind w:left="2127" w:right="2125"/>
        <w:jc w:val="both"/>
        <w:rPr>
          <w:rFonts w:ascii="Tahoma" w:hAnsi="Tahoma" w:cs="Tahoma"/>
          <w:i/>
          <w:sz w:val="20"/>
          <w:szCs w:val="20"/>
        </w:rPr>
      </w:pPr>
      <w:r w:rsidRPr="003D0A56">
        <w:rPr>
          <w:rFonts w:ascii="Tahoma" w:hAnsi="Tahoma" w:cs="Tahoma"/>
          <w:b/>
          <w:i/>
          <w:sz w:val="20"/>
          <w:szCs w:val="20"/>
        </w:rPr>
        <w:t>Sumilla:</w:t>
      </w:r>
      <w:r w:rsidRPr="003D0A56">
        <w:rPr>
          <w:rFonts w:ascii="Tahoma" w:hAnsi="Tahoma" w:cs="Tahoma"/>
          <w:i/>
          <w:sz w:val="20"/>
          <w:szCs w:val="20"/>
        </w:rPr>
        <w:t xml:space="preserve"> </w:t>
      </w:r>
      <w:r>
        <w:rPr>
          <w:rFonts w:ascii="Tahoma" w:hAnsi="Tahoma" w:cs="Tahoma"/>
          <w:i/>
          <w:sz w:val="20"/>
          <w:szCs w:val="20"/>
        </w:rPr>
        <w:t>“</w:t>
      </w:r>
      <w:r w:rsidR="00405814" w:rsidRPr="00A51656">
        <w:rPr>
          <w:rFonts w:ascii="Arial" w:hAnsi="Arial" w:cs="Arial"/>
          <w:i/>
          <w:sz w:val="22"/>
          <w:szCs w:val="22"/>
        </w:rPr>
        <w:t xml:space="preserve">Es pasible de sanción el </w:t>
      </w:r>
      <w:r w:rsidR="00405814">
        <w:rPr>
          <w:rFonts w:ascii="Arial" w:hAnsi="Arial" w:cs="Arial"/>
          <w:i/>
          <w:sz w:val="22"/>
          <w:szCs w:val="22"/>
        </w:rPr>
        <w:t>postor</w:t>
      </w:r>
      <w:r w:rsidR="00405814" w:rsidRPr="00A51656">
        <w:rPr>
          <w:rFonts w:ascii="Arial" w:hAnsi="Arial" w:cs="Arial"/>
          <w:i/>
          <w:sz w:val="22"/>
          <w:szCs w:val="22"/>
        </w:rPr>
        <w:t xml:space="preserve"> que presenta documentos falsos </w:t>
      </w:r>
      <w:r w:rsidR="00405814" w:rsidRPr="00405814">
        <w:rPr>
          <w:rFonts w:ascii="Arial" w:hAnsi="Arial" w:cs="Arial"/>
          <w:i/>
          <w:sz w:val="22"/>
          <w:szCs w:val="22"/>
        </w:rPr>
        <w:t xml:space="preserve">a </w:t>
      </w:r>
      <w:smartTag w:uri="urn:schemas-microsoft-com:office:smarttags" w:element="PersonName">
        <w:smartTagPr>
          <w:attr w:name="ProductID" w:val="la Entidad"/>
        </w:smartTagPr>
        <w:r w:rsidR="00405814" w:rsidRPr="00405814">
          <w:rPr>
            <w:rFonts w:ascii="Arial" w:hAnsi="Arial" w:cs="Arial"/>
            <w:i/>
            <w:sz w:val="22"/>
            <w:szCs w:val="22"/>
          </w:rPr>
          <w:t>la Entidad</w:t>
        </w:r>
      </w:smartTag>
      <w:r w:rsidR="00405814" w:rsidRPr="00405814">
        <w:rPr>
          <w:rFonts w:ascii="Arial" w:hAnsi="Arial" w:cs="Arial"/>
          <w:i/>
          <w:sz w:val="22"/>
          <w:szCs w:val="22"/>
        </w:rPr>
        <w:t>,</w:t>
      </w:r>
      <w:r w:rsidR="00405814" w:rsidRPr="00A51656">
        <w:rPr>
          <w:rFonts w:ascii="Arial" w:hAnsi="Arial" w:cs="Arial"/>
          <w:i/>
          <w:sz w:val="22"/>
          <w:szCs w:val="22"/>
        </w:rPr>
        <w:t xml:space="preserve"> entendiéndose por tales aquellos que no hayan sido expedidos por su emisor o que, siendo válidamente emitidos, hayan sido adulterados en su forma o contenido, independientemente de quién haya sido su autor o de las circunstancias que condujeron a su falsificación</w:t>
      </w:r>
      <w:r w:rsidR="00405814">
        <w:rPr>
          <w:rFonts w:ascii="Arial" w:hAnsi="Arial" w:cs="Arial"/>
          <w:i/>
          <w:sz w:val="22"/>
          <w:szCs w:val="22"/>
        </w:rPr>
        <w:t>.”</w:t>
      </w:r>
    </w:p>
    <w:p w:rsidR="00867EB5" w:rsidRPr="003D0A56" w:rsidRDefault="00867EB5" w:rsidP="00867EB5">
      <w:pPr>
        <w:pStyle w:val="Textoindependiente3"/>
        <w:spacing w:after="0"/>
        <w:rPr>
          <w:rFonts w:ascii="Tahoma" w:hAnsi="Tahoma" w:cs="Tahoma"/>
          <w:i/>
          <w:sz w:val="20"/>
          <w:szCs w:val="20"/>
          <w:lang w:val="es-ES"/>
        </w:rPr>
      </w:pPr>
    </w:p>
    <w:p w:rsidR="00867EB5" w:rsidRPr="003D0A56" w:rsidRDefault="00867EB5" w:rsidP="00867EB5">
      <w:pPr>
        <w:pStyle w:val="Textoindependiente3"/>
        <w:spacing w:after="0"/>
        <w:ind w:left="5387"/>
        <w:jc w:val="both"/>
        <w:rPr>
          <w:rFonts w:ascii="Tahoma" w:hAnsi="Tahoma" w:cs="Tahoma"/>
          <w:b/>
          <w:sz w:val="20"/>
          <w:szCs w:val="20"/>
        </w:rPr>
      </w:pPr>
      <w:r w:rsidRPr="003D0A56">
        <w:rPr>
          <w:rFonts w:ascii="Tahoma" w:hAnsi="Tahoma" w:cs="Tahoma"/>
          <w:b/>
          <w:sz w:val="20"/>
          <w:szCs w:val="20"/>
        </w:rPr>
        <w:t>Lima,</w:t>
      </w:r>
      <w:r w:rsidR="00C1180C">
        <w:rPr>
          <w:rFonts w:ascii="Tahoma" w:hAnsi="Tahoma" w:cs="Tahoma"/>
          <w:b/>
          <w:sz w:val="20"/>
          <w:szCs w:val="20"/>
        </w:rPr>
        <w:t>12 de Julio de 2011</w:t>
      </w:r>
    </w:p>
    <w:p w:rsidR="00867EB5" w:rsidRPr="003D0A56" w:rsidRDefault="00867EB5" w:rsidP="00867EB5">
      <w:pPr>
        <w:pStyle w:val="Textoindependiente3"/>
        <w:spacing w:after="0"/>
        <w:ind w:left="5387"/>
        <w:jc w:val="both"/>
        <w:rPr>
          <w:rFonts w:ascii="Tahoma" w:hAnsi="Tahoma" w:cs="Tahoma"/>
          <w:b/>
          <w:sz w:val="20"/>
          <w:szCs w:val="20"/>
        </w:rPr>
      </w:pPr>
    </w:p>
    <w:p w:rsidR="00867EB5" w:rsidRPr="00405814" w:rsidRDefault="00867EB5" w:rsidP="00867EB5">
      <w:pPr>
        <w:ind w:left="567"/>
        <w:contextualSpacing/>
        <w:jc w:val="both"/>
        <w:rPr>
          <w:rFonts w:ascii="Tahoma" w:hAnsi="Tahoma" w:cs="Tahoma"/>
          <w:sz w:val="22"/>
          <w:szCs w:val="22"/>
        </w:rPr>
      </w:pPr>
      <w:r w:rsidRPr="00405814">
        <w:rPr>
          <w:rFonts w:ascii="Tahoma" w:hAnsi="Tahoma" w:cs="Tahoma"/>
          <w:b/>
          <w:sz w:val="22"/>
          <w:szCs w:val="22"/>
        </w:rPr>
        <w:t xml:space="preserve">Visto </w:t>
      </w:r>
      <w:r w:rsidRPr="00405814">
        <w:rPr>
          <w:rFonts w:ascii="Tahoma" w:hAnsi="Tahoma" w:cs="Tahoma"/>
          <w:sz w:val="22"/>
          <w:szCs w:val="22"/>
        </w:rPr>
        <w:t xml:space="preserve">en sesión de fecha </w:t>
      </w:r>
      <w:r w:rsidR="00405814" w:rsidRPr="00405814">
        <w:rPr>
          <w:rFonts w:ascii="Tahoma" w:hAnsi="Tahoma" w:cs="Tahoma"/>
          <w:sz w:val="22"/>
          <w:szCs w:val="22"/>
        </w:rPr>
        <w:t>12</w:t>
      </w:r>
      <w:r w:rsidRPr="00405814">
        <w:rPr>
          <w:rFonts w:ascii="Tahoma" w:hAnsi="Tahoma" w:cs="Tahoma"/>
          <w:sz w:val="22"/>
          <w:szCs w:val="22"/>
        </w:rPr>
        <w:t xml:space="preserve"> de julio de 2011, la Primera Sala del Tribunal de Contrataciones del Estado el Expediente N° </w:t>
      </w:r>
      <w:r w:rsidR="00405814" w:rsidRPr="00405814">
        <w:rPr>
          <w:rFonts w:ascii="Tahoma" w:hAnsi="Tahoma" w:cs="Tahoma"/>
          <w:sz w:val="22"/>
          <w:szCs w:val="22"/>
        </w:rPr>
        <w:t>5058</w:t>
      </w:r>
      <w:r w:rsidRPr="00405814">
        <w:rPr>
          <w:rFonts w:ascii="Tahoma" w:hAnsi="Tahoma" w:cs="Tahoma"/>
          <w:sz w:val="22"/>
          <w:szCs w:val="22"/>
        </w:rPr>
        <w:t>-</w:t>
      </w:r>
      <w:r w:rsidR="00405814" w:rsidRPr="00405814">
        <w:rPr>
          <w:rFonts w:ascii="Tahoma" w:hAnsi="Tahoma" w:cs="Tahoma"/>
          <w:sz w:val="22"/>
          <w:szCs w:val="22"/>
        </w:rPr>
        <w:t xml:space="preserve">2008-TC; </w:t>
      </w:r>
      <w:r w:rsidRPr="00405814">
        <w:rPr>
          <w:rFonts w:ascii="Tahoma" w:hAnsi="Tahoma" w:cs="Tahoma"/>
          <w:sz w:val="22"/>
          <w:szCs w:val="22"/>
        </w:rPr>
        <w:t xml:space="preserve">por haber </w:t>
      </w:r>
      <w:r w:rsidR="00405814" w:rsidRPr="00405814">
        <w:rPr>
          <w:rFonts w:ascii="Tahoma" w:hAnsi="Tahoma" w:cs="Tahoma"/>
          <w:sz w:val="22"/>
          <w:szCs w:val="22"/>
        </w:rPr>
        <w:t xml:space="preserve">presentado documentación falsa </w:t>
      </w:r>
      <w:r w:rsidRPr="00405814">
        <w:rPr>
          <w:rFonts w:ascii="Tahoma" w:hAnsi="Tahoma" w:cs="Tahoma"/>
          <w:sz w:val="22"/>
          <w:szCs w:val="22"/>
        </w:rPr>
        <w:t xml:space="preserve">en el proceso de selección de </w:t>
      </w:r>
      <w:r w:rsidR="00405814" w:rsidRPr="00405814">
        <w:rPr>
          <w:rFonts w:ascii="Tahoma" w:hAnsi="Tahoma" w:cs="Tahoma"/>
          <w:sz w:val="22"/>
          <w:szCs w:val="22"/>
        </w:rPr>
        <w:t xml:space="preserve">Adjudicación de Menor Cuantía Nº </w:t>
      </w:r>
      <w:r w:rsidR="00405814">
        <w:rPr>
          <w:rFonts w:ascii="Tahoma" w:hAnsi="Tahoma" w:cs="Tahoma"/>
          <w:sz w:val="22"/>
          <w:szCs w:val="22"/>
        </w:rPr>
        <w:t>0</w:t>
      </w:r>
      <w:r w:rsidR="00405814" w:rsidRPr="00405814">
        <w:rPr>
          <w:rFonts w:ascii="Tahoma" w:hAnsi="Tahoma" w:cs="Tahoma"/>
          <w:sz w:val="22"/>
          <w:szCs w:val="22"/>
        </w:rPr>
        <w:t>01-2</w:t>
      </w:r>
      <w:r w:rsidR="00405814" w:rsidRPr="00405814">
        <w:rPr>
          <w:rFonts w:ascii="Tahoma" w:hAnsi="Tahoma" w:cs="Tahoma"/>
          <w:bCs/>
          <w:sz w:val="22"/>
          <w:szCs w:val="22"/>
        </w:rPr>
        <w:t>008-</w:t>
      </w:r>
      <w:r w:rsidR="00405814" w:rsidRPr="00405814">
        <w:rPr>
          <w:rFonts w:ascii="Tahoma" w:hAnsi="Tahoma" w:cs="Tahoma"/>
          <w:sz w:val="22"/>
          <w:szCs w:val="22"/>
          <w:lang w:val="es-PE"/>
        </w:rPr>
        <w:t>UGEL-Hz</w:t>
      </w:r>
      <w:r w:rsidR="00405814" w:rsidRPr="00405814">
        <w:rPr>
          <w:rFonts w:ascii="Tahoma" w:hAnsi="Tahoma" w:cs="Tahoma"/>
          <w:bCs/>
          <w:sz w:val="22"/>
          <w:szCs w:val="22"/>
        </w:rPr>
        <w:t xml:space="preserve">, para la </w:t>
      </w:r>
      <w:r w:rsidR="00405814" w:rsidRPr="00405814">
        <w:rPr>
          <w:rFonts w:ascii="Tahoma" w:hAnsi="Tahoma" w:cs="Tahoma"/>
          <w:sz w:val="22"/>
          <w:szCs w:val="22"/>
        </w:rPr>
        <w:t>“Adquisición de Uniformes para Personal Damas y Caballeros</w:t>
      </w:r>
      <w:r w:rsidR="00405814" w:rsidRPr="00405814">
        <w:rPr>
          <w:rFonts w:ascii="Tahoma" w:hAnsi="Tahoma" w:cs="Tahoma"/>
          <w:bCs/>
          <w:sz w:val="22"/>
          <w:szCs w:val="22"/>
        </w:rPr>
        <w:t>” y en atención</w:t>
      </w:r>
      <w:r w:rsidRPr="00405814">
        <w:rPr>
          <w:rFonts w:ascii="Tahoma" w:hAnsi="Tahoma" w:cs="Tahoma"/>
          <w:sz w:val="22"/>
          <w:szCs w:val="22"/>
        </w:rPr>
        <w:t xml:space="preserve"> a los siguientes:</w:t>
      </w:r>
    </w:p>
    <w:p w:rsidR="00867EB5" w:rsidRPr="003D0A56" w:rsidRDefault="00867EB5" w:rsidP="00867EB5">
      <w:pPr>
        <w:contextualSpacing/>
        <w:jc w:val="both"/>
        <w:rPr>
          <w:rFonts w:ascii="Tahoma" w:hAnsi="Tahoma" w:cs="Tahoma"/>
          <w:b/>
          <w:sz w:val="20"/>
          <w:szCs w:val="20"/>
          <w:lang w:val="es-ES_tradnl"/>
        </w:rPr>
      </w:pPr>
    </w:p>
    <w:p w:rsidR="00867EB5" w:rsidRPr="003D0A56" w:rsidRDefault="00867EB5" w:rsidP="00867EB5">
      <w:pPr>
        <w:pStyle w:val="Prrafodelista"/>
        <w:ind w:left="567"/>
        <w:rPr>
          <w:rFonts w:ascii="Tahoma" w:hAnsi="Tahoma" w:cs="Tahoma"/>
          <w:b/>
          <w:sz w:val="20"/>
        </w:rPr>
      </w:pPr>
      <w:r w:rsidRPr="003D0A56">
        <w:rPr>
          <w:rFonts w:ascii="Tahoma" w:hAnsi="Tahoma" w:cs="Tahoma"/>
          <w:b/>
          <w:sz w:val="20"/>
        </w:rPr>
        <w:t>ANTECEDENTES:</w:t>
      </w:r>
    </w:p>
    <w:p w:rsidR="00867EB5" w:rsidRPr="003D0A56" w:rsidRDefault="00867EB5" w:rsidP="00867EB5">
      <w:pPr>
        <w:jc w:val="both"/>
        <w:rPr>
          <w:rFonts w:ascii="Tahoma" w:hAnsi="Tahoma" w:cs="Tahoma"/>
          <w:b/>
          <w:sz w:val="20"/>
          <w:szCs w:val="20"/>
          <w:lang w:eastAsia="es-PE"/>
        </w:rPr>
      </w:pPr>
    </w:p>
    <w:p w:rsidR="00867EB5" w:rsidRPr="00012835" w:rsidRDefault="00867EB5" w:rsidP="00867EB5">
      <w:pPr>
        <w:pStyle w:val="Sangradetextonormal"/>
        <w:numPr>
          <w:ilvl w:val="0"/>
          <w:numId w:val="8"/>
        </w:numPr>
        <w:spacing w:after="0"/>
        <w:ind w:left="567" w:hanging="567"/>
        <w:jc w:val="both"/>
        <w:rPr>
          <w:rFonts w:ascii="Tahoma" w:hAnsi="Tahoma" w:cs="Tahoma"/>
          <w:sz w:val="22"/>
          <w:szCs w:val="22"/>
          <w:lang w:val="es-PE"/>
        </w:rPr>
      </w:pPr>
      <w:r w:rsidRPr="00012835">
        <w:rPr>
          <w:rFonts w:ascii="Tahoma" w:hAnsi="Tahoma" w:cs="Tahoma"/>
          <w:sz w:val="22"/>
          <w:szCs w:val="22"/>
        </w:rPr>
        <w:t xml:space="preserve">El 8 de julio de 2008, la </w:t>
      </w:r>
      <w:r w:rsidRPr="00012835">
        <w:rPr>
          <w:rFonts w:ascii="Tahoma" w:hAnsi="Tahoma" w:cs="Tahoma"/>
          <w:sz w:val="22"/>
          <w:szCs w:val="22"/>
          <w:lang w:val="es-PE"/>
        </w:rPr>
        <w:t>Unidad de Gestión Educativa Local - Huaraz</w:t>
      </w:r>
      <w:r w:rsidRPr="00012835">
        <w:rPr>
          <w:rFonts w:ascii="Tahoma" w:hAnsi="Tahoma" w:cs="Tahoma"/>
          <w:sz w:val="22"/>
          <w:szCs w:val="22"/>
        </w:rPr>
        <w:t xml:space="preserve">, en adelante la Entidad, llevó a cabo la Convocatoria de la Adjudicación de Menor Cuantía Nº </w:t>
      </w:r>
      <w:r>
        <w:rPr>
          <w:rFonts w:ascii="Tahoma" w:hAnsi="Tahoma" w:cs="Tahoma"/>
          <w:sz w:val="22"/>
          <w:szCs w:val="22"/>
        </w:rPr>
        <w:t>00</w:t>
      </w:r>
      <w:r w:rsidRPr="00012835">
        <w:rPr>
          <w:rFonts w:ascii="Tahoma" w:hAnsi="Tahoma" w:cs="Tahoma"/>
          <w:sz w:val="22"/>
          <w:szCs w:val="22"/>
        </w:rPr>
        <w:t>1-2</w:t>
      </w:r>
      <w:r w:rsidRPr="00012835">
        <w:rPr>
          <w:rFonts w:ascii="Tahoma" w:hAnsi="Tahoma" w:cs="Tahoma"/>
          <w:bCs/>
          <w:sz w:val="22"/>
          <w:szCs w:val="22"/>
        </w:rPr>
        <w:t>008-</w:t>
      </w:r>
      <w:r w:rsidRPr="00012835">
        <w:rPr>
          <w:rFonts w:ascii="Tahoma" w:hAnsi="Tahoma" w:cs="Tahoma"/>
          <w:sz w:val="22"/>
          <w:szCs w:val="22"/>
          <w:lang w:val="es-PE"/>
        </w:rPr>
        <w:t>UGEL-Hz</w:t>
      </w:r>
      <w:r w:rsidRPr="00012835">
        <w:rPr>
          <w:rFonts w:ascii="Tahoma" w:hAnsi="Tahoma" w:cs="Tahoma"/>
          <w:bCs/>
          <w:sz w:val="22"/>
          <w:szCs w:val="22"/>
        </w:rPr>
        <w:t xml:space="preserve">, para la </w:t>
      </w:r>
      <w:r w:rsidRPr="00012835">
        <w:rPr>
          <w:rFonts w:ascii="Tahoma" w:hAnsi="Tahoma" w:cs="Tahoma"/>
          <w:sz w:val="22"/>
          <w:szCs w:val="22"/>
        </w:rPr>
        <w:t>“Adquisición de Uniformes para Personal Damas y Caballeros</w:t>
      </w:r>
      <w:r w:rsidRPr="00012835">
        <w:rPr>
          <w:rFonts w:ascii="Tahoma" w:hAnsi="Tahoma" w:cs="Tahoma"/>
          <w:bCs/>
          <w:sz w:val="22"/>
          <w:szCs w:val="22"/>
        </w:rPr>
        <w:t>”, por un valor referencial ascendente a S/. 25 000,00</w:t>
      </w:r>
      <w:r w:rsidRPr="00012835">
        <w:rPr>
          <w:rFonts w:ascii="Tahoma" w:hAnsi="Tahoma" w:cs="Tahoma"/>
          <w:sz w:val="22"/>
          <w:szCs w:val="22"/>
        </w:rPr>
        <w:t>.</w:t>
      </w:r>
    </w:p>
    <w:p w:rsidR="00867EB5" w:rsidRPr="00012835" w:rsidRDefault="00867EB5" w:rsidP="00867EB5">
      <w:pPr>
        <w:pStyle w:val="Sangradetextonormal"/>
        <w:spacing w:after="0"/>
        <w:ind w:left="360"/>
        <w:jc w:val="both"/>
        <w:rPr>
          <w:rFonts w:ascii="Tahoma" w:hAnsi="Tahoma" w:cs="Tahoma"/>
          <w:bCs/>
          <w:sz w:val="22"/>
          <w:szCs w:val="22"/>
        </w:rPr>
      </w:pPr>
    </w:p>
    <w:p w:rsidR="00867EB5" w:rsidRPr="00012835" w:rsidRDefault="00867EB5" w:rsidP="00867EB5">
      <w:pPr>
        <w:pStyle w:val="Sangradetextonormal"/>
        <w:numPr>
          <w:ilvl w:val="0"/>
          <w:numId w:val="8"/>
        </w:numPr>
        <w:spacing w:after="0"/>
        <w:ind w:left="567" w:hanging="567"/>
        <w:jc w:val="both"/>
        <w:rPr>
          <w:rFonts w:ascii="Tahoma" w:hAnsi="Tahoma" w:cs="Tahoma"/>
          <w:sz w:val="22"/>
          <w:szCs w:val="22"/>
        </w:rPr>
      </w:pPr>
      <w:r w:rsidRPr="00012835">
        <w:rPr>
          <w:rFonts w:ascii="Tahoma" w:hAnsi="Tahoma" w:cs="Tahoma"/>
          <w:sz w:val="22"/>
          <w:szCs w:val="22"/>
        </w:rPr>
        <w:t xml:space="preserve">El 15 de julio de 2008 se publicó en el Sistema Electrónico de Adquisiciones y Contrataciones del Estado (SEACE) el otorgamiento de la buena pro a favor de Reynaldo </w:t>
      </w:r>
      <w:r w:rsidR="00405814">
        <w:rPr>
          <w:rFonts w:ascii="Tahoma" w:hAnsi="Tahoma" w:cs="Tahoma"/>
          <w:sz w:val="22"/>
          <w:szCs w:val="22"/>
        </w:rPr>
        <w:t xml:space="preserve">Alfonzo </w:t>
      </w:r>
      <w:r w:rsidRPr="00012835">
        <w:rPr>
          <w:rFonts w:ascii="Tahoma" w:hAnsi="Tahoma" w:cs="Tahoma"/>
          <w:sz w:val="22"/>
          <w:szCs w:val="22"/>
        </w:rPr>
        <w:t>Flores Depaz, por su propuesta económica equivalente a S/. 24 950,00, quedando en segundo lugar el postor Dennis Ariel Infante Montañez.</w:t>
      </w:r>
    </w:p>
    <w:p w:rsidR="00867EB5" w:rsidRPr="00012835" w:rsidRDefault="00867EB5" w:rsidP="00867EB5">
      <w:pPr>
        <w:pStyle w:val="Prrafodelista"/>
        <w:rPr>
          <w:rFonts w:ascii="Tahoma" w:hAnsi="Tahoma" w:cs="Tahoma"/>
          <w:sz w:val="22"/>
          <w:szCs w:val="22"/>
        </w:rPr>
      </w:pPr>
    </w:p>
    <w:p w:rsidR="00867EB5" w:rsidRPr="00012835" w:rsidRDefault="00867EB5" w:rsidP="00867EB5">
      <w:pPr>
        <w:pStyle w:val="Sangradetextonormal"/>
        <w:numPr>
          <w:ilvl w:val="0"/>
          <w:numId w:val="8"/>
        </w:numPr>
        <w:spacing w:after="0"/>
        <w:ind w:left="567" w:hanging="567"/>
        <w:jc w:val="both"/>
        <w:rPr>
          <w:rFonts w:ascii="Tahoma" w:hAnsi="Tahoma" w:cs="Tahoma"/>
          <w:sz w:val="22"/>
          <w:szCs w:val="22"/>
        </w:rPr>
      </w:pPr>
      <w:r w:rsidRPr="00012835">
        <w:rPr>
          <w:rFonts w:ascii="Tahoma" w:hAnsi="Tahoma" w:cs="Tahoma"/>
          <w:sz w:val="22"/>
          <w:szCs w:val="22"/>
        </w:rPr>
        <w:t>El postor Dennis Ariel Infante Montañez interpuso un recurso de apelación contra dicho acto señalando que el postor Reynaldo Flores Depaz había presentado como parte de su propuesta técnica documentación falsa y/o inexacta, y no había cumplido con los requerimientos técnicos mínimos.</w:t>
      </w:r>
    </w:p>
    <w:p w:rsidR="00867EB5" w:rsidRPr="00012835" w:rsidRDefault="00867EB5" w:rsidP="00867EB5">
      <w:pPr>
        <w:pStyle w:val="Prrafodelista"/>
        <w:rPr>
          <w:rFonts w:ascii="Tahoma" w:hAnsi="Tahoma" w:cs="Tahoma"/>
          <w:sz w:val="22"/>
          <w:szCs w:val="22"/>
        </w:rPr>
      </w:pPr>
    </w:p>
    <w:p w:rsidR="00867EB5" w:rsidRDefault="00867EB5" w:rsidP="00867EB5">
      <w:pPr>
        <w:pStyle w:val="Sangradetextonormal"/>
        <w:numPr>
          <w:ilvl w:val="0"/>
          <w:numId w:val="8"/>
        </w:numPr>
        <w:spacing w:after="0"/>
        <w:ind w:left="567" w:hanging="567"/>
        <w:jc w:val="both"/>
        <w:rPr>
          <w:rFonts w:ascii="Tahoma" w:hAnsi="Tahoma" w:cs="Tahoma"/>
          <w:sz w:val="22"/>
          <w:szCs w:val="22"/>
        </w:rPr>
      </w:pPr>
      <w:r w:rsidRPr="00012835">
        <w:rPr>
          <w:rFonts w:ascii="Tahoma" w:hAnsi="Tahoma" w:cs="Tahoma"/>
          <w:sz w:val="22"/>
          <w:szCs w:val="22"/>
        </w:rPr>
        <w:t xml:space="preserve">Mediante Resolución Nº 2489-2008-TC-S4, </w:t>
      </w:r>
      <w:r>
        <w:rPr>
          <w:rFonts w:ascii="Tahoma" w:hAnsi="Tahoma" w:cs="Tahoma"/>
          <w:sz w:val="22"/>
          <w:szCs w:val="22"/>
        </w:rPr>
        <w:t>del 02 de setiembre de 2008, el</w:t>
      </w:r>
      <w:r w:rsidRPr="00012835">
        <w:rPr>
          <w:rFonts w:ascii="Tahoma" w:hAnsi="Tahoma" w:cs="Tahoma"/>
          <w:sz w:val="22"/>
          <w:szCs w:val="22"/>
        </w:rPr>
        <w:t xml:space="preserve"> Tribunal </w:t>
      </w:r>
      <w:r>
        <w:rPr>
          <w:rFonts w:ascii="Tahoma" w:hAnsi="Tahoma" w:cs="Tahoma"/>
          <w:sz w:val="22"/>
          <w:szCs w:val="22"/>
        </w:rPr>
        <w:t>de Contrataciones del Estado, en adelante, el Tribunal resolvió d</w:t>
      </w:r>
      <w:r w:rsidRPr="00012835">
        <w:rPr>
          <w:rFonts w:ascii="Tahoma" w:hAnsi="Tahoma" w:cs="Tahoma"/>
          <w:sz w:val="22"/>
          <w:szCs w:val="22"/>
        </w:rPr>
        <w:t xml:space="preserve">eclarar fundado el recurso de apelación interpuesto; y por su efecto, descalificar la propuesta técnica de Reynaldo </w:t>
      </w:r>
      <w:r w:rsidR="00405814">
        <w:rPr>
          <w:rFonts w:ascii="Tahoma" w:hAnsi="Tahoma" w:cs="Tahoma"/>
          <w:sz w:val="22"/>
          <w:szCs w:val="22"/>
        </w:rPr>
        <w:t xml:space="preserve">Alfonzo </w:t>
      </w:r>
      <w:r>
        <w:rPr>
          <w:rFonts w:ascii="Tahoma" w:hAnsi="Tahoma" w:cs="Tahoma"/>
          <w:sz w:val="22"/>
          <w:szCs w:val="22"/>
        </w:rPr>
        <w:t>Flores Depaz;</w:t>
      </w:r>
      <w:r w:rsidRPr="00012835">
        <w:rPr>
          <w:rFonts w:ascii="Tahoma" w:hAnsi="Tahoma" w:cs="Tahoma"/>
          <w:sz w:val="22"/>
          <w:szCs w:val="22"/>
        </w:rPr>
        <w:t xml:space="preserve"> en ese sentido, dispuso la apertura </w:t>
      </w:r>
      <w:r w:rsidRPr="00012835">
        <w:rPr>
          <w:rFonts w:ascii="Tahoma" w:hAnsi="Tahoma" w:cs="Tahoma"/>
          <w:bCs/>
          <w:sz w:val="22"/>
          <w:szCs w:val="22"/>
        </w:rPr>
        <w:t xml:space="preserve">de un expediente de aplicación de sanción en contra del </w:t>
      </w:r>
      <w:r w:rsidRPr="00012835">
        <w:rPr>
          <w:rFonts w:ascii="Tahoma" w:hAnsi="Tahoma" w:cs="Tahoma"/>
          <w:sz w:val="22"/>
          <w:szCs w:val="22"/>
        </w:rPr>
        <w:t xml:space="preserve">postor Reynaldo </w:t>
      </w:r>
      <w:r w:rsidR="00405814">
        <w:rPr>
          <w:rFonts w:ascii="Tahoma" w:hAnsi="Tahoma" w:cs="Tahoma"/>
          <w:sz w:val="22"/>
          <w:szCs w:val="22"/>
        </w:rPr>
        <w:t xml:space="preserve">Alfonzo </w:t>
      </w:r>
      <w:r w:rsidRPr="00012835">
        <w:rPr>
          <w:rFonts w:ascii="Tahoma" w:hAnsi="Tahoma" w:cs="Tahoma"/>
          <w:sz w:val="22"/>
          <w:szCs w:val="22"/>
        </w:rPr>
        <w:t>Flores Depaz, en adelante, el Denunciado, por haber presentado documentación falsa a la Entidad, infracción tipificada en el numeral 9) del artículo 294 del Reglamento de la</w:t>
      </w:r>
      <w:r w:rsidRPr="00012835">
        <w:rPr>
          <w:rFonts w:ascii="Tahoma" w:hAnsi="Tahoma" w:cs="Tahoma"/>
          <w:sz w:val="22"/>
          <w:szCs w:val="22"/>
          <w:lang w:val="es-PE"/>
        </w:rPr>
        <w:t xml:space="preserve"> Ley de Contrataciones y Adquisiciones del Estado</w:t>
      </w:r>
      <w:r w:rsidRPr="00012835">
        <w:rPr>
          <w:rFonts w:ascii="Tahoma" w:hAnsi="Tahoma" w:cs="Tahoma"/>
          <w:sz w:val="22"/>
          <w:szCs w:val="22"/>
        </w:rPr>
        <w:t>.</w:t>
      </w:r>
    </w:p>
    <w:p w:rsidR="00867EB5" w:rsidRDefault="00867EB5" w:rsidP="00867EB5">
      <w:pPr>
        <w:pStyle w:val="Prrafodelista"/>
        <w:rPr>
          <w:rFonts w:ascii="Tahoma" w:hAnsi="Tahoma" w:cs="Tahoma"/>
          <w:sz w:val="22"/>
          <w:szCs w:val="22"/>
        </w:rPr>
      </w:pPr>
    </w:p>
    <w:p w:rsidR="00867EB5" w:rsidRPr="00AA2FFB" w:rsidRDefault="00867EB5" w:rsidP="00867EB5">
      <w:pPr>
        <w:pStyle w:val="Sangradetextonormal"/>
        <w:numPr>
          <w:ilvl w:val="0"/>
          <w:numId w:val="8"/>
        </w:numPr>
        <w:spacing w:after="0"/>
        <w:ind w:left="567" w:hanging="567"/>
        <w:jc w:val="both"/>
        <w:rPr>
          <w:rFonts w:ascii="Tahoma" w:hAnsi="Tahoma" w:cs="Tahoma"/>
          <w:sz w:val="22"/>
          <w:szCs w:val="22"/>
        </w:rPr>
      </w:pPr>
      <w:r w:rsidRPr="00AA2FFB">
        <w:rPr>
          <w:rFonts w:ascii="Tahoma" w:hAnsi="Tahoma" w:cs="Tahoma"/>
          <w:sz w:val="22"/>
          <w:szCs w:val="22"/>
        </w:rPr>
        <w:lastRenderedPageBreak/>
        <w:t>Según se observa de la propuesta técnica cuestionada, el Denunciado presentó siete (7) facturas, de las cuales una fue emitida por la empresa Comercial Molina S.R.L., mientras que las otras seis (6) fueron expedidas por el citado postor. Pues bien, todas aquellas facturas expedidas por el postor adjudicatario corresponden a la serie 002 y consignan en el extremo izquierdo de la parte inferior la información de la imprenta encargada de la impresión de estos comprobantes de pago, referida a lo siguiente:</w:t>
      </w:r>
    </w:p>
    <w:p w:rsidR="00867EB5" w:rsidRPr="00012835" w:rsidRDefault="00867EB5" w:rsidP="00867EB5">
      <w:pPr>
        <w:pStyle w:val="Prrafodelista"/>
        <w:rPr>
          <w:rFonts w:ascii="Tahoma" w:hAnsi="Tahoma" w:cs="Tahoma"/>
          <w:sz w:val="22"/>
          <w:szCs w:val="22"/>
        </w:rPr>
      </w:pPr>
    </w:p>
    <w:p w:rsidR="00867EB5" w:rsidRPr="00AA2FFB" w:rsidRDefault="00867EB5" w:rsidP="00867EB5">
      <w:pPr>
        <w:pStyle w:val="Listaconvietas3"/>
        <w:numPr>
          <w:ilvl w:val="0"/>
          <w:numId w:val="0"/>
        </w:numPr>
        <w:ind w:left="567"/>
        <w:rPr>
          <w:i/>
        </w:rPr>
      </w:pPr>
      <w:r w:rsidRPr="00AA2FFB">
        <w:rPr>
          <w:i/>
        </w:rPr>
        <w:t>Editora Gráfica “El Satélite” S.A.</w:t>
      </w:r>
    </w:p>
    <w:p w:rsidR="00867EB5" w:rsidRPr="00AA2FFB" w:rsidRDefault="00867EB5" w:rsidP="00867EB5">
      <w:pPr>
        <w:pStyle w:val="Listaconvietas3"/>
        <w:numPr>
          <w:ilvl w:val="0"/>
          <w:numId w:val="0"/>
        </w:numPr>
        <w:ind w:left="567"/>
        <w:rPr>
          <w:i/>
        </w:rPr>
      </w:pPr>
      <w:r w:rsidRPr="00AA2FFB">
        <w:rPr>
          <w:i/>
        </w:rPr>
        <w:t>Jr. Simón Bolívar 605 – HZ. RUC: 20449329547 F.I. 20/06/2000</w:t>
      </w:r>
    </w:p>
    <w:p w:rsidR="00867EB5" w:rsidRPr="00AA2FFB" w:rsidRDefault="00867EB5" w:rsidP="00867EB5">
      <w:pPr>
        <w:pStyle w:val="Listaconvietas3"/>
        <w:numPr>
          <w:ilvl w:val="0"/>
          <w:numId w:val="0"/>
        </w:numPr>
        <w:ind w:left="567"/>
        <w:rPr>
          <w:i/>
        </w:rPr>
      </w:pPr>
      <w:r w:rsidRPr="00AA2FFB">
        <w:rPr>
          <w:i/>
        </w:rPr>
        <w:t>Serie 002 del 001 al 0100 Form. 816 AUT. 8246273173</w:t>
      </w:r>
    </w:p>
    <w:p w:rsidR="00867EB5" w:rsidRPr="00012835" w:rsidRDefault="00867EB5" w:rsidP="00867EB5">
      <w:pPr>
        <w:pStyle w:val="Prrafodelista"/>
        <w:ind w:left="426"/>
        <w:jc w:val="both"/>
        <w:rPr>
          <w:rFonts w:ascii="Tahoma" w:hAnsi="Tahoma" w:cs="Tahoma"/>
          <w:sz w:val="22"/>
          <w:szCs w:val="22"/>
        </w:rPr>
      </w:pPr>
    </w:p>
    <w:p w:rsidR="00867EB5" w:rsidRDefault="00867EB5" w:rsidP="00867EB5">
      <w:pPr>
        <w:pStyle w:val="Prrafodelista"/>
        <w:ind w:left="567"/>
        <w:jc w:val="both"/>
        <w:rPr>
          <w:rFonts w:ascii="Tahoma" w:hAnsi="Tahoma" w:cs="Tahoma"/>
          <w:sz w:val="22"/>
          <w:szCs w:val="22"/>
        </w:rPr>
      </w:pPr>
      <w:r w:rsidRPr="00012835">
        <w:rPr>
          <w:rFonts w:ascii="Tahoma" w:hAnsi="Tahoma" w:cs="Tahoma"/>
          <w:sz w:val="22"/>
          <w:szCs w:val="22"/>
        </w:rPr>
        <w:t>Sobre esta información, cabe indicar que el último dígito del año de impresión (200</w:t>
      </w:r>
      <w:r w:rsidRPr="00012835">
        <w:rPr>
          <w:rFonts w:ascii="Tahoma" w:hAnsi="Tahoma" w:cs="Tahoma"/>
          <w:b/>
          <w:sz w:val="22"/>
          <w:szCs w:val="22"/>
        </w:rPr>
        <w:t>0</w:t>
      </w:r>
      <w:r w:rsidRPr="00012835">
        <w:rPr>
          <w:rFonts w:ascii="Tahoma" w:hAnsi="Tahoma" w:cs="Tahoma"/>
          <w:sz w:val="22"/>
          <w:szCs w:val="22"/>
        </w:rPr>
        <w:t>) figura ilegible y no concordante con la grafía de los demás dígitos que allí figuran.</w:t>
      </w:r>
    </w:p>
    <w:p w:rsidR="00867EB5" w:rsidRPr="00AA2FFB" w:rsidRDefault="00867EB5" w:rsidP="00867EB5">
      <w:pPr>
        <w:pStyle w:val="Prrafodelista"/>
        <w:ind w:left="567"/>
        <w:jc w:val="both"/>
        <w:rPr>
          <w:rFonts w:ascii="Tahoma" w:hAnsi="Tahoma" w:cs="Tahoma"/>
          <w:sz w:val="22"/>
          <w:szCs w:val="22"/>
        </w:rPr>
      </w:pPr>
    </w:p>
    <w:p w:rsidR="00867EB5" w:rsidRPr="00AA2FFB" w:rsidRDefault="00867EB5" w:rsidP="00867EB5">
      <w:pPr>
        <w:pStyle w:val="Listaconvietas3"/>
        <w:rPr>
          <w:sz w:val="22"/>
          <w:szCs w:val="22"/>
        </w:rPr>
      </w:pPr>
      <w:r w:rsidRPr="00AA2FFB">
        <w:rPr>
          <w:sz w:val="22"/>
          <w:szCs w:val="22"/>
        </w:rPr>
        <w:t xml:space="preserve">En torno a estos documentos, el postor Dennis Ariel Infante Montañez sostiene que a pesar de que, por un lado, el Denunciado inició sus actividades el </w:t>
      </w:r>
      <w:r w:rsidRPr="00AA2FFB">
        <w:rPr>
          <w:sz w:val="22"/>
          <w:szCs w:val="22"/>
          <w:u w:val="single"/>
        </w:rPr>
        <w:t>3 de junio de 2008</w:t>
      </w:r>
      <w:r w:rsidRPr="00AA2FFB">
        <w:rPr>
          <w:sz w:val="22"/>
          <w:szCs w:val="22"/>
        </w:rPr>
        <w:t xml:space="preserve">, tal como consta en el Comprobante de Información Registrada emitido por la SUNAT, obrante a folio 144 del expediente y que el </w:t>
      </w:r>
      <w:r w:rsidRPr="00AA2FFB">
        <w:rPr>
          <w:sz w:val="22"/>
          <w:szCs w:val="22"/>
          <w:u w:val="single"/>
        </w:rPr>
        <w:t>20 de junio de 200</w:t>
      </w:r>
      <w:r w:rsidRPr="00AA2FFB">
        <w:rPr>
          <w:b/>
          <w:sz w:val="22"/>
          <w:szCs w:val="22"/>
          <w:u w:val="single"/>
        </w:rPr>
        <w:t>8</w:t>
      </w:r>
      <w:r w:rsidRPr="00AA2FFB">
        <w:rPr>
          <w:sz w:val="22"/>
          <w:szCs w:val="22"/>
        </w:rPr>
        <w:t xml:space="preserve"> obtuvo su autorización para comprobantes de pago (Factura - serie 002), bajo el número 8246273173; por otro lado, de modo totalmente contradictorio, se observa que dichas facturas fueron presentadas por el citado postor en su propuesta, pero con fecha de emisión que data desde el año </w:t>
      </w:r>
      <w:r w:rsidRPr="00AA2FFB">
        <w:rPr>
          <w:sz w:val="22"/>
          <w:szCs w:val="22"/>
          <w:u w:val="single"/>
        </w:rPr>
        <w:t>2001 hasta el 2007</w:t>
      </w:r>
      <w:r w:rsidRPr="00AA2FFB">
        <w:rPr>
          <w:sz w:val="22"/>
          <w:szCs w:val="22"/>
        </w:rPr>
        <w:t xml:space="preserve">. </w:t>
      </w:r>
    </w:p>
    <w:p w:rsidR="00867EB5" w:rsidRPr="00AA2FFB" w:rsidRDefault="00867EB5" w:rsidP="00867EB5">
      <w:pPr>
        <w:pStyle w:val="Listaconvietas3"/>
        <w:numPr>
          <w:ilvl w:val="0"/>
          <w:numId w:val="0"/>
        </w:numPr>
        <w:ind w:left="567"/>
        <w:rPr>
          <w:sz w:val="22"/>
          <w:szCs w:val="22"/>
        </w:rPr>
      </w:pPr>
    </w:p>
    <w:p w:rsidR="00867EB5" w:rsidRPr="00AA2FFB" w:rsidRDefault="00867EB5" w:rsidP="00867EB5">
      <w:pPr>
        <w:pStyle w:val="Listaconvietas3"/>
        <w:rPr>
          <w:sz w:val="22"/>
          <w:szCs w:val="22"/>
        </w:rPr>
      </w:pPr>
      <w:r w:rsidRPr="00AA2FFB">
        <w:rPr>
          <w:sz w:val="22"/>
          <w:szCs w:val="22"/>
        </w:rPr>
        <w:t>A criterio del postor Dennis Ariel Infante Montañez, la situación descrita constituía un indicio suficiente para afirmar que el denunciado presentó facturas adulteradas, por lo que el Tribunal llevó a cabo el análisis correspondiente en dicha oportunidad.</w:t>
      </w:r>
    </w:p>
    <w:p w:rsidR="00867EB5" w:rsidRPr="00AA2FFB" w:rsidRDefault="00867EB5" w:rsidP="00867EB5">
      <w:pPr>
        <w:pStyle w:val="Prrafodelista"/>
        <w:rPr>
          <w:rFonts w:ascii="Tahoma" w:hAnsi="Tahoma" w:cs="Tahoma"/>
          <w:sz w:val="22"/>
          <w:szCs w:val="22"/>
        </w:rPr>
      </w:pPr>
    </w:p>
    <w:p w:rsidR="00867EB5" w:rsidRPr="00AA2FFB" w:rsidRDefault="00867EB5" w:rsidP="00867EB5">
      <w:pPr>
        <w:pStyle w:val="Listaconvietas3"/>
        <w:rPr>
          <w:sz w:val="22"/>
          <w:szCs w:val="22"/>
        </w:rPr>
      </w:pPr>
      <w:r w:rsidRPr="00AA2FFB">
        <w:rPr>
          <w:sz w:val="22"/>
          <w:szCs w:val="22"/>
        </w:rPr>
        <w:t>Mediante escrito del 17 de diciembre de 2008, la Entidad remitió los antecedentes administrativos.</w:t>
      </w:r>
    </w:p>
    <w:p w:rsidR="00867EB5" w:rsidRPr="00AA2FFB" w:rsidRDefault="00867EB5" w:rsidP="00867EB5">
      <w:pPr>
        <w:pStyle w:val="Prrafodelista"/>
        <w:rPr>
          <w:rFonts w:ascii="Tahoma" w:hAnsi="Tahoma" w:cs="Tahoma"/>
          <w:sz w:val="22"/>
          <w:szCs w:val="22"/>
        </w:rPr>
      </w:pPr>
    </w:p>
    <w:p w:rsidR="00867EB5" w:rsidRPr="00AA2FFB" w:rsidRDefault="00867EB5" w:rsidP="00867EB5">
      <w:pPr>
        <w:pStyle w:val="Listaconvietas3"/>
        <w:rPr>
          <w:sz w:val="22"/>
          <w:szCs w:val="22"/>
        </w:rPr>
      </w:pPr>
      <w:r w:rsidRPr="00AA2FFB">
        <w:rPr>
          <w:sz w:val="22"/>
          <w:szCs w:val="22"/>
        </w:rPr>
        <w:t>Mediante decreto del 22 de diciembre de 2008, este Tribunal inició procedimiento administrativo sancionador contra Reynaldo</w:t>
      </w:r>
      <w:r w:rsidR="00405814">
        <w:rPr>
          <w:sz w:val="22"/>
          <w:szCs w:val="22"/>
        </w:rPr>
        <w:t xml:space="preserve"> Alfonzo </w:t>
      </w:r>
      <w:r w:rsidRPr="00AA2FFB">
        <w:rPr>
          <w:sz w:val="22"/>
          <w:szCs w:val="22"/>
        </w:rPr>
        <w:t xml:space="preserve"> Flores Depaz, por su supuesta responsabilidad en la presentación, como parte de su propuesta técnica, de las facturas Nº 002-000001 de fecha 23.09.2001, 002-000021 de fecha 15.05.2002, 002-000049 de fecha 02.11.2004, 002-000054 de fecha 06.10.2005, 002-000071 de fecha 25.07.2006 y 002-000088 de fecha 14.09.2007, expedidas por el postor, y se le notificó a fin que en el plazo de diez (10) días hábiles cumpla con presentar sus descargos.</w:t>
      </w:r>
    </w:p>
    <w:p w:rsidR="00867EB5" w:rsidRPr="00AA2FFB" w:rsidRDefault="00867EB5" w:rsidP="00867EB5">
      <w:pPr>
        <w:pStyle w:val="Prrafodelista"/>
        <w:rPr>
          <w:rFonts w:ascii="Tahoma" w:hAnsi="Tahoma" w:cs="Tahoma"/>
          <w:sz w:val="22"/>
          <w:szCs w:val="22"/>
        </w:rPr>
      </w:pPr>
    </w:p>
    <w:p w:rsidR="00867EB5" w:rsidRPr="00AA2FFB" w:rsidRDefault="00867EB5" w:rsidP="00867EB5">
      <w:pPr>
        <w:pStyle w:val="Listaconvietas3"/>
        <w:rPr>
          <w:sz w:val="22"/>
          <w:szCs w:val="22"/>
        </w:rPr>
      </w:pPr>
      <w:r w:rsidRPr="00AA2FFB">
        <w:rPr>
          <w:sz w:val="22"/>
          <w:szCs w:val="22"/>
        </w:rPr>
        <w:t>Mediante decreto del 18 de febrero</w:t>
      </w:r>
      <w:r>
        <w:rPr>
          <w:sz w:val="22"/>
          <w:szCs w:val="22"/>
        </w:rPr>
        <w:t xml:space="preserve"> de 2009, este Tribunal notificó</w:t>
      </w:r>
      <w:r w:rsidRPr="00AA2FFB">
        <w:rPr>
          <w:sz w:val="22"/>
          <w:szCs w:val="22"/>
        </w:rPr>
        <w:t xml:space="preserve"> vía publicación en el Diario Oficial El Peruano el decreto de fecha 22.12.2008 al ignorarse domicilio cierto del señor Reynaldo </w:t>
      </w:r>
      <w:r w:rsidR="00405814">
        <w:rPr>
          <w:sz w:val="22"/>
          <w:szCs w:val="22"/>
        </w:rPr>
        <w:t xml:space="preserve">Alfonzo </w:t>
      </w:r>
      <w:r w:rsidRPr="00AA2FFB">
        <w:rPr>
          <w:sz w:val="22"/>
          <w:szCs w:val="22"/>
        </w:rPr>
        <w:t>Flores Depaz.</w:t>
      </w:r>
    </w:p>
    <w:p w:rsidR="00867EB5" w:rsidRPr="00AA2FFB" w:rsidRDefault="00867EB5" w:rsidP="00867EB5">
      <w:pPr>
        <w:pStyle w:val="Prrafodelista"/>
        <w:rPr>
          <w:rFonts w:ascii="Tahoma" w:hAnsi="Tahoma" w:cs="Tahoma"/>
          <w:sz w:val="22"/>
          <w:szCs w:val="22"/>
        </w:rPr>
      </w:pPr>
    </w:p>
    <w:p w:rsidR="00867EB5" w:rsidRPr="00AA2FFB" w:rsidRDefault="00867EB5" w:rsidP="00867EB5">
      <w:pPr>
        <w:pStyle w:val="Listaconvietas3"/>
        <w:rPr>
          <w:sz w:val="22"/>
          <w:szCs w:val="22"/>
        </w:rPr>
      </w:pPr>
      <w:r w:rsidRPr="00AA2FFB">
        <w:rPr>
          <w:sz w:val="22"/>
          <w:szCs w:val="22"/>
        </w:rPr>
        <w:lastRenderedPageBreak/>
        <w:t xml:space="preserve">Mediante decreto del 07 de mayo de 2009, y no habiendo cumplido el Denunciado con presentar sus descargos y obrando en autos los antecedentes administrativos remitidos por </w:t>
      </w:r>
      <w:r>
        <w:rPr>
          <w:sz w:val="22"/>
          <w:szCs w:val="22"/>
        </w:rPr>
        <w:t>la Entidad</w:t>
      </w:r>
      <w:r w:rsidRPr="00AA2FFB">
        <w:rPr>
          <w:sz w:val="22"/>
          <w:szCs w:val="22"/>
        </w:rPr>
        <w:t xml:space="preserve"> se hizo efectivo el apercibimiento decretado de resolver con la documentación obrante en autos y se remitió el expediente a la Cuarta Sala del tribunal para que resuelva.</w:t>
      </w:r>
    </w:p>
    <w:p w:rsidR="00867EB5" w:rsidRPr="00AA2FFB" w:rsidRDefault="00867EB5" w:rsidP="00867EB5">
      <w:pPr>
        <w:pStyle w:val="Prrafodelista"/>
        <w:rPr>
          <w:rFonts w:ascii="Tahoma" w:hAnsi="Tahoma" w:cs="Tahoma"/>
          <w:sz w:val="22"/>
          <w:szCs w:val="22"/>
        </w:rPr>
      </w:pPr>
    </w:p>
    <w:p w:rsidR="00867EB5" w:rsidRPr="00AA2FFB" w:rsidRDefault="00867EB5" w:rsidP="00867EB5">
      <w:pPr>
        <w:pStyle w:val="Listaconvietas3"/>
        <w:rPr>
          <w:sz w:val="22"/>
          <w:szCs w:val="22"/>
        </w:rPr>
      </w:pPr>
      <w:r w:rsidRPr="00AA2FFB">
        <w:rPr>
          <w:sz w:val="22"/>
          <w:szCs w:val="22"/>
          <w:lang w:val="es-ES_tradnl"/>
        </w:rPr>
        <w:t>A través</w:t>
      </w:r>
      <w:r w:rsidRPr="00AA2FFB">
        <w:rPr>
          <w:sz w:val="22"/>
          <w:szCs w:val="22"/>
        </w:rPr>
        <w:t xml:space="preserve"> del decreto de fecha 30 de marzo de 2010, atendiendo a la designación de Vocales del Tribunal de Contrataciones del Estado, dispuesta por Resolución Suprema № 044-2010-EF del 23 de marzo de 2010, así como a la Resolución № 190-2010-OSCE/PRE de fecha 29 de marzo de 2010, que designó a los vocales conformantes de las salas del Tribunal, el expediente fue reasignado a la Primera Sala del Tribunal para su conocimiento y resolución.</w:t>
      </w:r>
    </w:p>
    <w:p w:rsidR="00867EB5" w:rsidRPr="00867EB5" w:rsidRDefault="00867EB5" w:rsidP="00867EB5">
      <w:pPr>
        <w:contextualSpacing/>
        <w:jc w:val="both"/>
        <w:rPr>
          <w:rFonts w:ascii="Tahoma" w:hAnsi="Tahoma" w:cs="Tahoma"/>
          <w:sz w:val="20"/>
          <w:szCs w:val="20"/>
          <w:lang w:val="es-PE"/>
        </w:rPr>
      </w:pPr>
    </w:p>
    <w:p w:rsidR="00867EB5" w:rsidRPr="003D0A56" w:rsidRDefault="00867EB5" w:rsidP="00867EB5">
      <w:pPr>
        <w:pStyle w:val="Prrafodelista"/>
        <w:widowControl/>
        <w:suppressAutoHyphens w:val="0"/>
        <w:ind w:left="567"/>
        <w:jc w:val="both"/>
        <w:rPr>
          <w:rFonts w:ascii="Tahoma" w:hAnsi="Tahoma" w:cs="Tahoma"/>
          <w:b/>
          <w:shadow/>
          <w:sz w:val="20"/>
        </w:rPr>
      </w:pPr>
      <w:r w:rsidRPr="003D0A56">
        <w:rPr>
          <w:rFonts w:ascii="Tahoma" w:hAnsi="Tahoma" w:cs="Tahoma"/>
          <w:b/>
          <w:sz w:val="20"/>
        </w:rPr>
        <w:t>FUNDAMENTACIÓN:</w:t>
      </w:r>
    </w:p>
    <w:p w:rsidR="00867EB5" w:rsidRPr="003D0A56" w:rsidRDefault="00867EB5" w:rsidP="00867EB5">
      <w:pPr>
        <w:pStyle w:val="Prrafodelista"/>
        <w:widowControl/>
        <w:suppressAutoHyphens w:val="0"/>
        <w:ind w:left="567"/>
        <w:jc w:val="both"/>
        <w:rPr>
          <w:rFonts w:ascii="Tahoma" w:hAnsi="Tahoma" w:cs="Tahoma"/>
          <w:b/>
          <w:shadow/>
          <w:sz w:val="20"/>
        </w:rPr>
      </w:pPr>
    </w:p>
    <w:p w:rsidR="00867EB5" w:rsidRPr="00AA2FFB" w:rsidRDefault="00867EB5" w:rsidP="00867EB5">
      <w:pPr>
        <w:pStyle w:val="Prrafodelista"/>
        <w:widowControl/>
        <w:numPr>
          <w:ilvl w:val="0"/>
          <w:numId w:val="9"/>
        </w:numPr>
        <w:tabs>
          <w:tab w:val="num" w:pos="567"/>
        </w:tabs>
        <w:suppressAutoHyphens w:val="0"/>
        <w:ind w:left="567" w:hanging="567"/>
        <w:contextualSpacing/>
        <w:jc w:val="both"/>
        <w:rPr>
          <w:rFonts w:ascii="Tahoma" w:hAnsi="Tahoma" w:cs="Tahoma"/>
          <w:sz w:val="22"/>
          <w:szCs w:val="22"/>
          <w:lang w:val="es-PE"/>
        </w:rPr>
      </w:pPr>
      <w:r w:rsidRPr="00AA2FFB">
        <w:rPr>
          <w:rFonts w:ascii="Tahoma" w:hAnsi="Tahoma" w:cs="Tahoma"/>
          <w:sz w:val="22"/>
          <w:szCs w:val="22"/>
          <w:lang w:val="es-PE"/>
        </w:rPr>
        <w:t>El presente procedimiento administrativo sanciona</w:t>
      </w:r>
      <w:r>
        <w:rPr>
          <w:rFonts w:ascii="Tahoma" w:hAnsi="Tahoma" w:cs="Tahoma"/>
          <w:sz w:val="22"/>
          <w:szCs w:val="22"/>
          <w:lang w:val="es-PE"/>
        </w:rPr>
        <w:t xml:space="preserve">dor ha sido iniciado contra </w:t>
      </w:r>
      <w:r w:rsidRPr="00AE6C07">
        <w:rPr>
          <w:rFonts w:ascii="Tahoma" w:hAnsi="Tahoma" w:cs="Tahoma"/>
          <w:sz w:val="22"/>
          <w:szCs w:val="22"/>
          <w:lang w:val="es-PE"/>
        </w:rPr>
        <w:t>REYNALDO  ALFONZO FLORES DEPAZ</w:t>
      </w:r>
      <w:r w:rsidRPr="00AA2FFB">
        <w:rPr>
          <w:rFonts w:ascii="Tahoma" w:hAnsi="Tahoma" w:cs="Tahoma"/>
          <w:sz w:val="22"/>
          <w:szCs w:val="22"/>
          <w:lang w:val="es-PE"/>
        </w:rPr>
        <w:t xml:space="preserve">, por su supuesta responsabilidad en la presentación de documentación falsa o información inexacta a la Entidad; infracción tipificada en el numeral 9) del artículo 294 del Reglamento de la Ley de Contrataciones y Adquisiciones del Estado, </w:t>
      </w:r>
      <w:r w:rsidRPr="00AA2FFB">
        <w:rPr>
          <w:rFonts w:ascii="Tahoma" w:hAnsi="Tahoma" w:cs="Tahoma"/>
          <w:sz w:val="22"/>
          <w:szCs w:val="22"/>
        </w:rPr>
        <w:t>aprobado por Decreto Supremo Nº 084-2004-PCM, norma vigente durante la ocurrencia de los hechos imputados.</w:t>
      </w:r>
    </w:p>
    <w:p w:rsidR="00867EB5" w:rsidRPr="00AA2FFB" w:rsidRDefault="00867EB5" w:rsidP="00867EB5">
      <w:pPr>
        <w:pStyle w:val="Prrafodelista"/>
        <w:ind w:left="567"/>
        <w:contextualSpacing/>
        <w:jc w:val="both"/>
        <w:rPr>
          <w:rFonts w:ascii="Tahoma" w:hAnsi="Tahoma" w:cs="Tahoma"/>
          <w:sz w:val="22"/>
          <w:szCs w:val="22"/>
          <w:lang w:val="es-PE"/>
        </w:rPr>
      </w:pPr>
    </w:p>
    <w:p w:rsidR="00867EB5" w:rsidRPr="00AE6C07" w:rsidRDefault="00867EB5" w:rsidP="00867EB5">
      <w:pPr>
        <w:pStyle w:val="Prrafodelista"/>
        <w:widowControl/>
        <w:numPr>
          <w:ilvl w:val="0"/>
          <w:numId w:val="9"/>
        </w:numPr>
        <w:tabs>
          <w:tab w:val="num" w:pos="567"/>
        </w:tabs>
        <w:suppressAutoHyphens w:val="0"/>
        <w:ind w:left="567" w:hanging="567"/>
        <w:contextualSpacing/>
        <w:jc w:val="both"/>
        <w:rPr>
          <w:rFonts w:ascii="Tahoma" w:hAnsi="Tahoma" w:cs="Tahoma"/>
          <w:sz w:val="22"/>
          <w:szCs w:val="22"/>
          <w:lang w:val="es-PE"/>
        </w:rPr>
      </w:pPr>
      <w:r w:rsidRPr="00AA2FFB">
        <w:rPr>
          <w:rFonts w:ascii="Tahoma" w:hAnsi="Tahoma" w:cs="Tahoma"/>
          <w:sz w:val="22"/>
          <w:szCs w:val="22"/>
        </w:rPr>
        <w:t>En ese sentido, el análisis que recae sobre la presente infracción administrativa es de conformidad con el Texto Único Ordenado de la Ley de Contrataciones y Adquisiciones del Estado y su Reglamento, aprobados mediante Decretos Supremos Nº 083-2004-PCM y Nº 084-2004-PCM, en lo sucesivo la Ley y el Reglamento, normas vigentes durante la ocurrencia de los hechos.</w:t>
      </w:r>
    </w:p>
    <w:p w:rsidR="00867EB5" w:rsidRPr="00AE6C07" w:rsidRDefault="00867EB5" w:rsidP="00867EB5">
      <w:pPr>
        <w:pStyle w:val="Prrafodelista"/>
        <w:rPr>
          <w:rFonts w:ascii="Tahoma" w:hAnsi="Tahoma" w:cs="Tahoma"/>
          <w:sz w:val="22"/>
          <w:szCs w:val="22"/>
          <w:lang w:val="es-PE"/>
        </w:rPr>
      </w:pPr>
    </w:p>
    <w:p w:rsidR="00867EB5" w:rsidRDefault="00867EB5" w:rsidP="00867EB5">
      <w:pPr>
        <w:pStyle w:val="Prrafodelista"/>
        <w:widowControl/>
        <w:numPr>
          <w:ilvl w:val="0"/>
          <w:numId w:val="9"/>
        </w:numPr>
        <w:tabs>
          <w:tab w:val="num" w:pos="567"/>
        </w:tabs>
        <w:suppressAutoHyphens w:val="0"/>
        <w:ind w:left="567" w:hanging="567"/>
        <w:contextualSpacing/>
        <w:jc w:val="both"/>
        <w:rPr>
          <w:rFonts w:ascii="Tahoma" w:hAnsi="Tahoma" w:cs="Tahoma"/>
          <w:sz w:val="22"/>
          <w:szCs w:val="22"/>
          <w:lang w:val="es-PE"/>
        </w:rPr>
      </w:pPr>
      <w:r w:rsidRPr="00AE6C07">
        <w:rPr>
          <w:rFonts w:ascii="Tahoma" w:hAnsi="Tahoma" w:cs="Tahoma"/>
          <w:sz w:val="22"/>
          <w:szCs w:val="22"/>
          <w:lang w:val="es-PE"/>
        </w:rPr>
        <w:t>Sobre el particular, las normas antes citadas, establecen que los proveedores, participantes, postores y/o contratistas incurrirán en infracción susceptible de sanción cuando presenten documentos falsos o información inexacta a las Entidades, al Tribunal o al OSCE.</w:t>
      </w:r>
    </w:p>
    <w:p w:rsidR="00867EB5" w:rsidRPr="00AE6C07" w:rsidRDefault="00867EB5" w:rsidP="00867EB5">
      <w:pPr>
        <w:pStyle w:val="Prrafodelista"/>
        <w:rPr>
          <w:rFonts w:ascii="Tahoma" w:hAnsi="Tahoma" w:cs="Tahoma"/>
          <w:sz w:val="22"/>
          <w:szCs w:val="22"/>
          <w:lang w:val="es-PE"/>
        </w:rPr>
      </w:pPr>
    </w:p>
    <w:p w:rsidR="00867EB5" w:rsidRDefault="00867EB5" w:rsidP="00867EB5">
      <w:pPr>
        <w:pStyle w:val="Prrafodelista"/>
        <w:ind w:left="567"/>
        <w:contextualSpacing/>
        <w:jc w:val="both"/>
        <w:rPr>
          <w:rFonts w:ascii="Tahoma" w:hAnsi="Tahoma" w:cs="Tahoma"/>
          <w:sz w:val="22"/>
          <w:szCs w:val="22"/>
          <w:lang w:val="es-PE"/>
        </w:rPr>
      </w:pPr>
      <w:r w:rsidRPr="00AE6C07">
        <w:rPr>
          <w:rFonts w:ascii="Tahoma" w:hAnsi="Tahoma" w:cs="Tahoma"/>
          <w:sz w:val="22"/>
          <w:szCs w:val="22"/>
          <w:lang w:val="es-PE"/>
        </w:rPr>
        <w:t>Dicha infracción se configura con la sola presentación del documento falso o inexacto, sin que la norma exija otros factores adicionales.</w:t>
      </w:r>
    </w:p>
    <w:p w:rsidR="00867EB5" w:rsidRPr="00AE6C07" w:rsidRDefault="00867EB5" w:rsidP="00867EB5">
      <w:pPr>
        <w:pStyle w:val="Prrafodelista"/>
        <w:rPr>
          <w:rFonts w:ascii="Tahoma" w:hAnsi="Tahoma" w:cs="Tahoma"/>
          <w:sz w:val="22"/>
          <w:szCs w:val="22"/>
          <w:lang w:val="es-PE"/>
        </w:rPr>
      </w:pPr>
    </w:p>
    <w:p w:rsidR="00867EB5" w:rsidRDefault="00867EB5" w:rsidP="00867EB5">
      <w:pPr>
        <w:pStyle w:val="Prrafodelista"/>
        <w:widowControl/>
        <w:numPr>
          <w:ilvl w:val="0"/>
          <w:numId w:val="9"/>
        </w:numPr>
        <w:tabs>
          <w:tab w:val="num" w:pos="567"/>
        </w:tabs>
        <w:suppressAutoHyphens w:val="0"/>
        <w:ind w:left="567" w:hanging="567"/>
        <w:contextualSpacing/>
        <w:jc w:val="both"/>
        <w:rPr>
          <w:rFonts w:ascii="Tahoma" w:hAnsi="Tahoma" w:cs="Tahoma"/>
          <w:sz w:val="22"/>
          <w:szCs w:val="22"/>
          <w:lang w:val="es-PE"/>
        </w:rPr>
      </w:pPr>
      <w:r w:rsidRPr="00AE6C07">
        <w:rPr>
          <w:rFonts w:ascii="Tahoma" w:hAnsi="Tahoma" w:cs="Tahoma"/>
          <w:sz w:val="22"/>
          <w:szCs w:val="22"/>
          <w:lang w:val="es-PE"/>
        </w:rPr>
        <w:t xml:space="preserve">Para 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a través del quebrantamiento de los </w:t>
      </w:r>
      <w:r w:rsidRPr="00AE6C07">
        <w:rPr>
          <w:rFonts w:ascii="Tahoma" w:hAnsi="Tahoma" w:cs="Tahoma"/>
          <w:i/>
          <w:sz w:val="22"/>
          <w:szCs w:val="22"/>
          <w:lang w:val="es-PE"/>
        </w:rPr>
        <w:t>Principios de Moralidad</w:t>
      </w:r>
      <w:r w:rsidRPr="00AE6C07">
        <w:rPr>
          <w:rFonts w:ascii="Tahoma" w:hAnsi="Tahoma" w:cs="Tahoma"/>
          <w:sz w:val="22"/>
          <w:szCs w:val="22"/>
          <w:lang w:val="es-PE"/>
        </w:rPr>
        <w:t xml:space="preserve"> y de </w:t>
      </w:r>
      <w:r w:rsidRPr="00AE6C07">
        <w:rPr>
          <w:rFonts w:ascii="Tahoma" w:hAnsi="Tahoma" w:cs="Tahoma"/>
          <w:i/>
          <w:sz w:val="22"/>
          <w:szCs w:val="22"/>
          <w:lang w:val="es-PE"/>
        </w:rPr>
        <w:t>Presunción de Veracidad</w:t>
      </w:r>
      <w:r w:rsidRPr="00AE6C07">
        <w:rPr>
          <w:rFonts w:ascii="Tahoma" w:hAnsi="Tahoma" w:cs="Tahoma"/>
          <w:sz w:val="22"/>
          <w:szCs w:val="22"/>
          <w:lang w:val="es-PE"/>
        </w:rPr>
        <w:t>, de conformidad con lo establecido en el literal b) del artículo 4 de la Ley, en concordancia con lo dispuesto en el numeral 1.7 del Artículo IV del Título Preliminar y el numeral 42.1 del artículo 42 de la Ley del Procedimiento Administrativo General, Ley Nº 27444.</w:t>
      </w:r>
    </w:p>
    <w:p w:rsidR="00867EB5" w:rsidRDefault="00867EB5" w:rsidP="00867EB5">
      <w:pPr>
        <w:pStyle w:val="Prrafodelista"/>
        <w:ind w:left="567"/>
        <w:contextualSpacing/>
        <w:jc w:val="both"/>
        <w:rPr>
          <w:rFonts w:ascii="Tahoma" w:hAnsi="Tahoma" w:cs="Tahoma"/>
          <w:sz w:val="22"/>
          <w:szCs w:val="22"/>
          <w:lang w:val="es-PE"/>
        </w:rPr>
      </w:pPr>
    </w:p>
    <w:p w:rsidR="00867EB5" w:rsidRPr="00AE6C07" w:rsidRDefault="00867EB5" w:rsidP="00867EB5">
      <w:pPr>
        <w:pStyle w:val="Prrafodelista"/>
        <w:widowControl/>
        <w:numPr>
          <w:ilvl w:val="0"/>
          <w:numId w:val="9"/>
        </w:numPr>
        <w:tabs>
          <w:tab w:val="num" w:pos="567"/>
        </w:tabs>
        <w:suppressAutoHyphens w:val="0"/>
        <w:ind w:left="567" w:hanging="567"/>
        <w:contextualSpacing/>
        <w:jc w:val="both"/>
        <w:rPr>
          <w:rFonts w:ascii="Tahoma" w:hAnsi="Tahoma" w:cs="Tahoma"/>
          <w:sz w:val="22"/>
          <w:szCs w:val="22"/>
          <w:lang w:val="es-PE"/>
        </w:rPr>
      </w:pPr>
      <w:r w:rsidRPr="00AE6C07">
        <w:rPr>
          <w:rFonts w:ascii="Tahoma" w:hAnsi="Tahoma" w:cs="Tahoma"/>
          <w:sz w:val="22"/>
          <w:szCs w:val="22"/>
        </w:rPr>
        <w:t xml:space="preserve">Fluye de los actuados, la denuncia efectuada contra el Denunciado por su supuesta responsabilidad al haber presentado las siguientes facturas como parte de su propuesta técnica: Factura Nº 002-000001 </w:t>
      </w:r>
      <w:r>
        <w:rPr>
          <w:rFonts w:ascii="Tahoma" w:hAnsi="Tahoma" w:cs="Tahoma"/>
          <w:sz w:val="22"/>
          <w:szCs w:val="22"/>
        </w:rPr>
        <w:t>de fecha 23.09.2001, 002</w:t>
      </w:r>
      <w:r w:rsidRPr="00AE6C07">
        <w:rPr>
          <w:rFonts w:ascii="Tahoma" w:hAnsi="Tahoma" w:cs="Tahoma"/>
          <w:sz w:val="22"/>
          <w:szCs w:val="22"/>
        </w:rPr>
        <w:t>-000021 de fecha 15.05.2002, 002-000049 de fecha 02.11.2004, 002-000054 de fecha 06.10.2005, 002-000071 de fecha 25.07.2006 y 002-000088 de fecha 14.09.2007,</w:t>
      </w:r>
      <w:r>
        <w:rPr>
          <w:rFonts w:ascii="Tahoma" w:hAnsi="Tahoma" w:cs="Tahoma"/>
          <w:sz w:val="22"/>
          <w:szCs w:val="22"/>
        </w:rPr>
        <w:t xml:space="preserve"> </w:t>
      </w:r>
      <w:r w:rsidRPr="00AE6C07">
        <w:rPr>
          <w:rFonts w:ascii="Tahoma" w:hAnsi="Tahoma" w:cs="Tahoma"/>
          <w:sz w:val="22"/>
          <w:szCs w:val="22"/>
        </w:rPr>
        <w:t xml:space="preserve">documentos supuestamente falsos o inexactos presentados en el proceso de Menor Cuantía Nº </w:t>
      </w:r>
      <w:r>
        <w:rPr>
          <w:rFonts w:ascii="Tahoma" w:hAnsi="Tahoma" w:cs="Tahoma"/>
          <w:sz w:val="22"/>
          <w:szCs w:val="22"/>
        </w:rPr>
        <w:t>00</w:t>
      </w:r>
      <w:r w:rsidRPr="00AE6C07">
        <w:rPr>
          <w:rFonts w:ascii="Tahoma" w:hAnsi="Tahoma" w:cs="Tahoma"/>
          <w:sz w:val="22"/>
          <w:szCs w:val="22"/>
        </w:rPr>
        <w:t>1-2</w:t>
      </w:r>
      <w:r w:rsidRPr="00AE6C07">
        <w:rPr>
          <w:rFonts w:ascii="Tahoma" w:hAnsi="Tahoma" w:cs="Tahoma"/>
          <w:bCs/>
          <w:sz w:val="22"/>
          <w:szCs w:val="22"/>
        </w:rPr>
        <w:t>008-</w:t>
      </w:r>
      <w:r w:rsidRPr="00AE6C07">
        <w:rPr>
          <w:rFonts w:ascii="Tahoma" w:hAnsi="Tahoma" w:cs="Tahoma"/>
          <w:sz w:val="22"/>
          <w:szCs w:val="22"/>
          <w:lang w:val="es-PE"/>
        </w:rPr>
        <w:t>UGEL-Hz</w:t>
      </w:r>
      <w:r w:rsidRPr="00AE6C07">
        <w:rPr>
          <w:rFonts w:ascii="Tahoma" w:hAnsi="Tahoma" w:cs="Tahoma"/>
          <w:bCs/>
          <w:sz w:val="22"/>
          <w:szCs w:val="22"/>
        </w:rPr>
        <w:t xml:space="preserve">, para la </w:t>
      </w:r>
      <w:r w:rsidRPr="00AE6C07">
        <w:rPr>
          <w:rFonts w:ascii="Tahoma" w:hAnsi="Tahoma" w:cs="Tahoma"/>
          <w:sz w:val="22"/>
          <w:szCs w:val="22"/>
        </w:rPr>
        <w:t>“Adquisición de Uniformes para Personal Damas y Caballeros</w:t>
      </w:r>
      <w:r w:rsidRPr="00AE6C07">
        <w:rPr>
          <w:rFonts w:ascii="Tahoma" w:hAnsi="Tahoma" w:cs="Tahoma"/>
          <w:bCs/>
          <w:sz w:val="22"/>
          <w:szCs w:val="22"/>
        </w:rPr>
        <w:t>”.</w:t>
      </w:r>
    </w:p>
    <w:p w:rsidR="00867EB5" w:rsidRPr="00AE6C07" w:rsidRDefault="00867EB5" w:rsidP="00867EB5">
      <w:pPr>
        <w:pStyle w:val="Prrafodelista"/>
        <w:rPr>
          <w:rFonts w:ascii="Tahoma" w:hAnsi="Tahoma" w:cs="Tahoma"/>
          <w:sz w:val="22"/>
          <w:szCs w:val="22"/>
        </w:rPr>
      </w:pPr>
    </w:p>
    <w:p w:rsidR="00867EB5" w:rsidRPr="00AE6C07" w:rsidRDefault="00867EB5" w:rsidP="00867EB5">
      <w:pPr>
        <w:pStyle w:val="Prrafodelista"/>
        <w:widowControl/>
        <w:numPr>
          <w:ilvl w:val="0"/>
          <w:numId w:val="9"/>
        </w:numPr>
        <w:tabs>
          <w:tab w:val="num" w:pos="567"/>
        </w:tabs>
        <w:suppressAutoHyphens w:val="0"/>
        <w:ind w:left="567" w:hanging="567"/>
        <w:contextualSpacing/>
        <w:jc w:val="both"/>
        <w:rPr>
          <w:rFonts w:ascii="Tahoma" w:hAnsi="Tahoma" w:cs="Tahoma"/>
          <w:sz w:val="22"/>
          <w:szCs w:val="22"/>
          <w:lang w:val="es-PE"/>
        </w:rPr>
      </w:pPr>
      <w:r w:rsidRPr="00AE6C07">
        <w:rPr>
          <w:rFonts w:ascii="Tahoma" w:hAnsi="Tahoma" w:cs="Tahoma"/>
          <w:sz w:val="22"/>
          <w:szCs w:val="22"/>
        </w:rPr>
        <w:t>Al respecto, cabe mencionar que del análisis llevado a cado por este Tribunal en razón del recurso de apelación interpuesto en su oportunidad contra el Denunciado se advirtió la presentación de documentación falsa.</w:t>
      </w:r>
    </w:p>
    <w:p w:rsidR="00867EB5" w:rsidRPr="00867EB5" w:rsidRDefault="00867EB5" w:rsidP="00867EB5">
      <w:pPr>
        <w:rPr>
          <w:rFonts w:ascii="Tahoma" w:hAnsi="Tahoma" w:cs="Tahoma"/>
          <w:b/>
          <w:sz w:val="22"/>
          <w:szCs w:val="22"/>
          <w:u w:val="single"/>
        </w:rPr>
      </w:pPr>
    </w:p>
    <w:p w:rsidR="00867EB5" w:rsidRPr="00AE6C07" w:rsidRDefault="00867EB5" w:rsidP="00867EB5">
      <w:pPr>
        <w:pStyle w:val="Prrafodelista"/>
        <w:ind w:left="567"/>
        <w:contextualSpacing/>
        <w:jc w:val="both"/>
        <w:rPr>
          <w:rFonts w:ascii="Tahoma" w:hAnsi="Tahoma" w:cs="Tahoma"/>
          <w:sz w:val="22"/>
          <w:szCs w:val="22"/>
          <w:lang w:val="es-PE"/>
        </w:rPr>
      </w:pPr>
      <w:r w:rsidRPr="00AE6C07">
        <w:rPr>
          <w:rFonts w:ascii="Tahoma" w:hAnsi="Tahoma" w:cs="Tahoma"/>
          <w:b/>
          <w:sz w:val="22"/>
          <w:szCs w:val="22"/>
          <w:u w:val="single"/>
        </w:rPr>
        <w:t>Del análisis del Tribunal recogido en la Resolución Nº 2489-2008-TC-S4</w:t>
      </w:r>
    </w:p>
    <w:p w:rsidR="00867EB5" w:rsidRPr="00012835" w:rsidRDefault="00867EB5" w:rsidP="00867EB5">
      <w:pPr>
        <w:pStyle w:val="Prrafodelista"/>
        <w:tabs>
          <w:tab w:val="num" w:pos="709"/>
        </w:tabs>
        <w:ind w:left="567"/>
        <w:rPr>
          <w:rFonts w:ascii="Tahoma" w:hAnsi="Tahoma" w:cs="Tahoma"/>
          <w:b/>
          <w:sz w:val="22"/>
          <w:szCs w:val="22"/>
          <w:u w:val="single"/>
        </w:rPr>
      </w:pPr>
    </w:p>
    <w:p w:rsidR="00867EB5" w:rsidRPr="00012835" w:rsidRDefault="00867EB5" w:rsidP="00867EB5">
      <w:pPr>
        <w:pStyle w:val="Prrafodelista"/>
        <w:tabs>
          <w:tab w:val="num" w:pos="709"/>
        </w:tabs>
        <w:ind w:left="567"/>
        <w:contextualSpacing/>
        <w:jc w:val="both"/>
        <w:rPr>
          <w:rFonts w:ascii="Tahoma" w:hAnsi="Tahoma" w:cs="Tahoma"/>
          <w:sz w:val="22"/>
          <w:szCs w:val="22"/>
        </w:rPr>
      </w:pPr>
      <w:r w:rsidRPr="00012835">
        <w:rPr>
          <w:rFonts w:ascii="Tahoma" w:hAnsi="Tahoma" w:cs="Tahoma"/>
          <w:sz w:val="22"/>
          <w:szCs w:val="22"/>
        </w:rPr>
        <w:t>Me</w:t>
      </w:r>
      <w:r>
        <w:rPr>
          <w:rFonts w:ascii="Tahoma" w:hAnsi="Tahoma" w:cs="Tahoma"/>
          <w:sz w:val="22"/>
          <w:szCs w:val="22"/>
        </w:rPr>
        <w:t>diante dicha Resolución se llevó</w:t>
      </w:r>
      <w:r w:rsidRPr="00012835">
        <w:rPr>
          <w:rFonts w:ascii="Tahoma" w:hAnsi="Tahoma" w:cs="Tahoma"/>
          <w:sz w:val="22"/>
          <w:szCs w:val="22"/>
        </w:rPr>
        <w:t xml:space="preserve"> a cabo el siguiente análisis:</w:t>
      </w:r>
    </w:p>
    <w:p w:rsidR="00867EB5" w:rsidRPr="00012835" w:rsidRDefault="00867EB5" w:rsidP="00867EB5">
      <w:pPr>
        <w:pStyle w:val="Prrafodelista"/>
        <w:tabs>
          <w:tab w:val="num" w:pos="709"/>
        </w:tabs>
        <w:ind w:left="567"/>
        <w:rPr>
          <w:rFonts w:ascii="Tahoma" w:hAnsi="Tahoma" w:cs="Tahoma"/>
          <w:sz w:val="22"/>
          <w:szCs w:val="22"/>
        </w:rPr>
      </w:pPr>
    </w:p>
    <w:p w:rsidR="00867EB5" w:rsidRPr="00990083" w:rsidRDefault="00867EB5" w:rsidP="00867EB5">
      <w:pPr>
        <w:pStyle w:val="Prrafodelista"/>
        <w:tabs>
          <w:tab w:val="num" w:pos="709"/>
        </w:tabs>
        <w:ind w:left="567"/>
        <w:contextualSpacing/>
        <w:jc w:val="both"/>
        <w:rPr>
          <w:i/>
          <w:sz w:val="20"/>
        </w:rPr>
      </w:pPr>
      <w:r w:rsidRPr="00012835">
        <w:rPr>
          <w:i/>
          <w:sz w:val="22"/>
          <w:szCs w:val="22"/>
        </w:rPr>
        <w:t>“</w:t>
      </w:r>
      <w:r w:rsidRPr="00990083">
        <w:rPr>
          <w:i/>
          <w:sz w:val="20"/>
        </w:rPr>
        <w:t>El artículo 8 del Reglamento de Comprobantes de Pago</w:t>
      </w:r>
      <w:r w:rsidRPr="00990083">
        <w:rPr>
          <w:rStyle w:val="Refdenotaalpie"/>
          <w:i/>
          <w:sz w:val="20"/>
        </w:rPr>
        <w:footnoteReference w:id="2"/>
      </w:r>
      <w:r w:rsidRPr="00990083">
        <w:rPr>
          <w:i/>
          <w:sz w:val="20"/>
        </w:rPr>
        <w:t xml:space="preserve"> describe los requisitos mínimos de las facturas, entre los cuales se indica que debe encontrarse como información impresa la serie y el número correlativo; así como los datos de la imprenta o empresa gráfica que efectuó la impresión, como son la denominación o razón social, incluso el nombre comercial, número de RUC y fecha de impresión; número de autorización de impresión otorgado por la SUNAT, el cual se consignará conjuntamente con los datos de la imprenta o empresa gráfica.</w:t>
      </w:r>
    </w:p>
    <w:p w:rsidR="00867EB5" w:rsidRPr="00990083" w:rsidRDefault="00867EB5" w:rsidP="00867EB5">
      <w:pPr>
        <w:pStyle w:val="Listaconvietas3"/>
        <w:numPr>
          <w:ilvl w:val="0"/>
          <w:numId w:val="0"/>
        </w:numPr>
        <w:ind w:left="567"/>
      </w:pPr>
    </w:p>
    <w:p w:rsidR="00867EB5" w:rsidRPr="00990083" w:rsidRDefault="00867EB5" w:rsidP="00867EB5">
      <w:pPr>
        <w:pStyle w:val="Prrafodelista"/>
        <w:tabs>
          <w:tab w:val="num" w:pos="709"/>
        </w:tabs>
        <w:ind w:left="567"/>
        <w:contextualSpacing/>
        <w:jc w:val="both"/>
        <w:rPr>
          <w:i/>
          <w:sz w:val="20"/>
        </w:rPr>
      </w:pPr>
      <w:r w:rsidRPr="00990083">
        <w:rPr>
          <w:i/>
          <w:sz w:val="20"/>
        </w:rPr>
        <w:t xml:space="preserve">Sobre la imputación efectuada por el recurrente, debe tenerse en cuenta que quien hace un cuestionamiento referido a la falsedad de determinados documentos, debe adjuntar pruebas contundentes y fehacientes sobre la imputación efectuada, atendiendo a que el procedimiento administrativo se sustenta, además de otros, en el Principio de Presunción de Veracidad, el cual se encuentra reconocido en el numeral 1.7 del artículo IV del Título Preliminar de la Ley Nº 27444, por cuya virtud la Administración presume que los documentos y declaraciones formulados por los administrados responden a la verdad de los hechos que ellos afirman, salvo prueba en contrario. </w:t>
      </w:r>
    </w:p>
    <w:p w:rsidR="00867EB5" w:rsidRPr="00990083" w:rsidRDefault="00867EB5" w:rsidP="00867EB5">
      <w:pPr>
        <w:pStyle w:val="Prrafodelista"/>
        <w:tabs>
          <w:tab w:val="num" w:pos="709"/>
        </w:tabs>
        <w:ind w:left="567"/>
        <w:contextualSpacing/>
        <w:jc w:val="both"/>
        <w:rPr>
          <w:i/>
          <w:sz w:val="20"/>
        </w:rPr>
      </w:pPr>
    </w:p>
    <w:p w:rsidR="00867EB5" w:rsidRPr="00990083" w:rsidRDefault="00867EB5" w:rsidP="00867EB5">
      <w:pPr>
        <w:pStyle w:val="Prrafodelista"/>
        <w:tabs>
          <w:tab w:val="num" w:pos="709"/>
        </w:tabs>
        <w:ind w:left="567"/>
        <w:contextualSpacing/>
        <w:jc w:val="both"/>
        <w:rPr>
          <w:i/>
          <w:sz w:val="20"/>
        </w:rPr>
      </w:pPr>
      <w:r w:rsidRPr="00990083">
        <w:rPr>
          <w:i/>
          <w:sz w:val="20"/>
        </w:rPr>
        <w:t xml:space="preserve">Esto quiere decir, que la Administración debe presumir siempre la buena fe y la legalidad de los actos que realizan los administrados, de tal manera que las sospechas, suposiciones o indicios respecto de una supuesta falsedad no son razón suficiente para desvirtuar dicha presunción, la cual sólo puede ser destruida mediante la probanza respectiva por parte de quien haga tal imputación; asumir lo contrario, supondría avalar la presentación de denuncias de falsedad sin mayor sustento que las apreciaciones subjetivas de los denunciantes. </w:t>
      </w:r>
    </w:p>
    <w:p w:rsidR="00867EB5" w:rsidRPr="00990083" w:rsidRDefault="00867EB5" w:rsidP="00867EB5">
      <w:pPr>
        <w:pStyle w:val="Prrafodelista"/>
        <w:tabs>
          <w:tab w:val="num" w:pos="709"/>
        </w:tabs>
        <w:ind w:left="567"/>
        <w:contextualSpacing/>
        <w:jc w:val="both"/>
        <w:rPr>
          <w:i/>
          <w:sz w:val="20"/>
        </w:rPr>
      </w:pPr>
    </w:p>
    <w:p w:rsidR="00867EB5" w:rsidRPr="00990083" w:rsidRDefault="00867EB5" w:rsidP="00867EB5">
      <w:pPr>
        <w:pStyle w:val="Prrafodelista"/>
        <w:tabs>
          <w:tab w:val="num" w:pos="709"/>
        </w:tabs>
        <w:ind w:left="567"/>
        <w:contextualSpacing/>
        <w:jc w:val="both"/>
        <w:rPr>
          <w:i/>
          <w:sz w:val="20"/>
        </w:rPr>
      </w:pPr>
      <w:r w:rsidRPr="00990083">
        <w:rPr>
          <w:i/>
          <w:sz w:val="20"/>
        </w:rPr>
        <w:t xml:space="preserve">Teniendo en cuenta lo expresado, este Colegiado verifica que, con el propósito de probar la falsedad de las facturas cuestionadas, el postor recurrente adjuntó a su recurso el Comprobante de Información Registrada acerca de la autorización que otorgó la SUNAT a la empresa Editora Gráfica “El Satélite” S.A., bajo el número 8246273173, para la impresión de las facturas cuestionadas, con número de serie 0002, siendo la fecha de autorización del 20 de junio de 2008, y no 20 de junio de 2000, como figuraba en el extremo izquierdo de la parte inferior de las </w:t>
      </w:r>
      <w:r w:rsidRPr="00990083">
        <w:rPr>
          <w:i/>
          <w:sz w:val="20"/>
        </w:rPr>
        <w:lastRenderedPageBreak/>
        <w:t>facturas, de allí que pueda advertirse el motivo de la discrepancia en la grafía del último dígito al ser comparado con los demás.</w:t>
      </w:r>
    </w:p>
    <w:p w:rsidR="00867EB5" w:rsidRPr="00990083" w:rsidRDefault="00867EB5" w:rsidP="00867EB5">
      <w:pPr>
        <w:pStyle w:val="Prrafodelista"/>
        <w:tabs>
          <w:tab w:val="num" w:pos="709"/>
        </w:tabs>
        <w:ind w:left="567"/>
        <w:contextualSpacing/>
        <w:jc w:val="both"/>
        <w:rPr>
          <w:i/>
          <w:sz w:val="20"/>
        </w:rPr>
      </w:pPr>
    </w:p>
    <w:p w:rsidR="00867EB5" w:rsidRPr="00990083" w:rsidRDefault="00867EB5" w:rsidP="00867EB5">
      <w:pPr>
        <w:pStyle w:val="Prrafodelista"/>
        <w:tabs>
          <w:tab w:val="num" w:pos="709"/>
        </w:tabs>
        <w:ind w:left="567"/>
        <w:contextualSpacing/>
        <w:jc w:val="both"/>
        <w:rPr>
          <w:i/>
          <w:sz w:val="20"/>
        </w:rPr>
      </w:pPr>
      <w:r w:rsidRPr="00990083">
        <w:rPr>
          <w:i/>
          <w:sz w:val="20"/>
        </w:rPr>
        <w:t xml:space="preserve">Ante la existencia de evidencias de adulteración en las facturas presentadas por el postor adjudicatario, este Colegiado, en virtud del numeral 4) del artículo 159 del RLCAE, solicitó al postor ganador que se pronuncie sobre los cuestionamientos en su contra y a la empresa Editora Gráfica “El Satélite” S.A. que informe desde qué fecha (día, mes y año) se encontraba autorizada a imprimir facturas bajo el número de autorización 8246273173, a fin de corroborar la fecha de impresión que figura en la parte inferior izquierda de las facturas cuestionadas por el postor recurrente, cuyas copias fueron adjuntas a este pedido de información. </w:t>
      </w:r>
    </w:p>
    <w:p w:rsidR="00867EB5" w:rsidRPr="00990083" w:rsidRDefault="00867EB5" w:rsidP="00867EB5">
      <w:pPr>
        <w:pStyle w:val="Prrafodelista"/>
        <w:tabs>
          <w:tab w:val="num" w:pos="709"/>
        </w:tabs>
        <w:ind w:left="567"/>
        <w:contextualSpacing/>
        <w:jc w:val="both"/>
        <w:rPr>
          <w:i/>
          <w:sz w:val="20"/>
        </w:rPr>
      </w:pPr>
    </w:p>
    <w:p w:rsidR="00867EB5" w:rsidRPr="00990083" w:rsidRDefault="00867EB5" w:rsidP="00867EB5">
      <w:pPr>
        <w:pStyle w:val="Prrafodelista"/>
        <w:tabs>
          <w:tab w:val="num" w:pos="709"/>
        </w:tabs>
        <w:ind w:left="567"/>
        <w:contextualSpacing/>
        <w:jc w:val="both"/>
        <w:rPr>
          <w:i/>
          <w:sz w:val="20"/>
        </w:rPr>
      </w:pPr>
      <w:r w:rsidRPr="00990083">
        <w:rPr>
          <w:i/>
          <w:sz w:val="20"/>
        </w:rPr>
        <w:t>Dentro del plazo conferido por el Tribunal, la empresa requerida cumplió con informar lo siguiente: “podemos afirmar que la autorización 8246273173, con Nº de orden 6267548 pertenece al RUC 10320332864 del Sr. Flores Depaz Reynaldo Alfonzo, a quien el sistema SOL SUNAT autorizó la impresión de facturas serie 002 del 1 al 100, con fecha 20/06/2008”. Lo señalado por esta empresa se corrobora con el Comprobante de Información Registrada (Autorización de Impresión) presentado adjunto a su escrito.</w:t>
      </w:r>
    </w:p>
    <w:p w:rsidR="00867EB5" w:rsidRPr="00990083" w:rsidRDefault="00867EB5" w:rsidP="00867EB5">
      <w:pPr>
        <w:pStyle w:val="Prrafodelista"/>
        <w:tabs>
          <w:tab w:val="num" w:pos="709"/>
        </w:tabs>
        <w:ind w:left="567"/>
        <w:contextualSpacing/>
        <w:jc w:val="both"/>
        <w:rPr>
          <w:i/>
          <w:sz w:val="20"/>
        </w:rPr>
      </w:pPr>
    </w:p>
    <w:p w:rsidR="00867EB5" w:rsidRPr="00990083" w:rsidRDefault="00867EB5" w:rsidP="00867EB5">
      <w:pPr>
        <w:pStyle w:val="Prrafodelista"/>
        <w:tabs>
          <w:tab w:val="num" w:pos="709"/>
        </w:tabs>
        <w:ind w:left="567"/>
        <w:contextualSpacing/>
        <w:jc w:val="both"/>
        <w:rPr>
          <w:i/>
          <w:sz w:val="20"/>
        </w:rPr>
      </w:pPr>
      <w:r w:rsidRPr="00990083">
        <w:rPr>
          <w:i/>
          <w:sz w:val="20"/>
        </w:rPr>
        <w:t>Por su parte, el postor adjudicatario manifestó que su actividad principal es la confección de prendas de vestir, uniformes y otros, para instituciones públicas y privadas, con experiencia técnica y profesional de 14 años. Asimismo, indicó que por la venta de sus confecciones emitía recibos por honorarios y luego boletas de venta, pero estos documentos se perdieron y/o sufrieron deterioro por los cambios de domicilio que realizó durante el período de ejercicio de su actividad económica. Además, asegura que no efectuó la adulteración de las facturas presentadas en su propuesta, pues lo único que pretendió era cumplir el criterio de evaluación previsto en las Bases, respecto del monto facturado, donde sólo se podía presentar facturas, y no otro tipo de comprobante de pago, razón por la que optó cambiar del Régimen del RUS al Régimen General y así obtener la autorización de la SUNAT para la impresión de las facturas respectivas. En tal sentido, indicó que, para presentarse como postor, emitió facturas de acuerdo al Registro de sus Ventas realizadas a Instituciones Públicas.</w:t>
      </w:r>
    </w:p>
    <w:p w:rsidR="00867EB5" w:rsidRPr="00990083" w:rsidRDefault="00867EB5" w:rsidP="00867EB5">
      <w:pPr>
        <w:pStyle w:val="Prrafodelista"/>
        <w:tabs>
          <w:tab w:val="num" w:pos="709"/>
        </w:tabs>
        <w:ind w:left="567"/>
        <w:contextualSpacing/>
        <w:jc w:val="both"/>
        <w:rPr>
          <w:i/>
          <w:sz w:val="20"/>
        </w:rPr>
      </w:pPr>
    </w:p>
    <w:p w:rsidR="00867EB5" w:rsidRPr="00990083" w:rsidRDefault="00867EB5" w:rsidP="00867EB5">
      <w:pPr>
        <w:pStyle w:val="Prrafodelista"/>
        <w:tabs>
          <w:tab w:val="num" w:pos="709"/>
        </w:tabs>
        <w:ind w:left="567"/>
        <w:contextualSpacing/>
        <w:jc w:val="both"/>
        <w:rPr>
          <w:i/>
          <w:sz w:val="20"/>
        </w:rPr>
      </w:pPr>
      <w:r w:rsidRPr="00990083">
        <w:rPr>
          <w:i/>
          <w:sz w:val="20"/>
        </w:rPr>
        <w:t>Como es de verse, el postor adjudicatario reconoce que recién, con ocasión de la convocatoria del presente proceso de selección, solicitó la autorización a la SUNAT para la impresión de facturas; no obstante, dicha autorización la obtuvo el 20 de junio de 2008, conforme a lo informado por la empresa Editora Gráfica “El Satélite” S.A., es decir, antes de la fecha de la convocatoria (8 de julio de 2008).</w:t>
      </w:r>
    </w:p>
    <w:p w:rsidR="00867EB5" w:rsidRPr="00990083" w:rsidRDefault="00867EB5" w:rsidP="00867EB5">
      <w:pPr>
        <w:pStyle w:val="Prrafodelista"/>
        <w:tabs>
          <w:tab w:val="num" w:pos="709"/>
        </w:tabs>
        <w:ind w:left="567"/>
        <w:contextualSpacing/>
        <w:jc w:val="both"/>
        <w:rPr>
          <w:i/>
          <w:sz w:val="20"/>
        </w:rPr>
      </w:pPr>
    </w:p>
    <w:p w:rsidR="00867EB5" w:rsidRPr="00990083" w:rsidRDefault="00867EB5" w:rsidP="00867EB5">
      <w:pPr>
        <w:pStyle w:val="Prrafodelista"/>
        <w:tabs>
          <w:tab w:val="num" w:pos="709"/>
        </w:tabs>
        <w:ind w:left="567"/>
        <w:contextualSpacing/>
        <w:jc w:val="both"/>
        <w:rPr>
          <w:i/>
          <w:sz w:val="20"/>
        </w:rPr>
      </w:pPr>
      <w:r w:rsidRPr="00990083">
        <w:rPr>
          <w:i/>
          <w:sz w:val="20"/>
        </w:rPr>
        <w:t>Afirma, además, que a fin de presentar la documentación requerida en las Bases para la asignación del puntaje previsto en el factor referido al monto facturado, emitió facturas de acuerdo a su Registro de Ventas, respecto de transacciones que se realizaron en los años 2001, 2002, 2004, 2005, 2006 y 2007, pero la fecha de autorización para la impresión de estas facturas es del 20 de junio de 2008, con lo cual se evidencia que la fecha de impresión que figura en el extremo inferior izquierdo de las facturas, 20 de junio de 2000, no corresponde a la realidad.</w:t>
      </w:r>
    </w:p>
    <w:p w:rsidR="00867EB5" w:rsidRPr="00990083" w:rsidRDefault="00867EB5" w:rsidP="00867EB5">
      <w:pPr>
        <w:pStyle w:val="Prrafodelista"/>
        <w:tabs>
          <w:tab w:val="num" w:pos="709"/>
        </w:tabs>
        <w:ind w:left="567"/>
        <w:contextualSpacing/>
        <w:jc w:val="both"/>
        <w:rPr>
          <w:i/>
          <w:sz w:val="20"/>
        </w:rPr>
      </w:pPr>
    </w:p>
    <w:p w:rsidR="00867EB5" w:rsidRPr="00990083" w:rsidRDefault="00867EB5" w:rsidP="00867EB5">
      <w:pPr>
        <w:pStyle w:val="Prrafodelista"/>
        <w:tabs>
          <w:tab w:val="num" w:pos="709"/>
        </w:tabs>
        <w:ind w:left="567"/>
        <w:contextualSpacing/>
        <w:jc w:val="both"/>
        <w:rPr>
          <w:i/>
          <w:sz w:val="20"/>
        </w:rPr>
      </w:pPr>
      <w:r w:rsidRPr="00990083">
        <w:rPr>
          <w:i/>
          <w:sz w:val="20"/>
        </w:rPr>
        <w:t>Si bien el postor adjudicatario refiere que las ventas realizadas fueron reales, pues constarían en su Registro de Ventas, lo cierto es que dicho postor presentó facturas que no fueron emitidas en las fechas que en cada una de ellas se indica, lo que resulta totalmente indiscutible, pues tratándose de la serie 002, autorizadas bajo el número 8246273173, esos comprobantes de pago sólo podían ser emitidos a partir del 20 de junio de 2008.</w:t>
      </w:r>
    </w:p>
    <w:p w:rsidR="00867EB5" w:rsidRPr="00990083" w:rsidRDefault="00867EB5" w:rsidP="00867EB5">
      <w:pPr>
        <w:pStyle w:val="Prrafodelista"/>
        <w:tabs>
          <w:tab w:val="num" w:pos="709"/>
        </w:tabs>
        <w:ind w:left="567"/>
        <w:contextualSpacing/>
        <w:jc w:val="both"/>
        <w:rPr>
          <w:i/>
          <w:sz w:val="20"/>
        </w:rPr>
      </w:pPr>
      <w:r w:rsidRPr="00990083">
        <w:rPr>
          <w:i/>
          <w:sz w:val="20"/>
        </w:rPr>
        <w:t xml:space="preserve">Cabe indicar, que dentro de la documentación remitida por el postor ganador al Tribunal no se aprecia ningún documento que avale su afirmación, respecto de las transacciones que habría realizado con algunas entidades públicas en los años 2001, 2002, 2004, 2005, 2006 y 2007, pues </w:t>
      </w:r>
      <w:r w:rsidRPr="00990083">
        <w:rPr>
          <w:i/>
          <w:sz w:val="20"/>
        </w:rPr>
        <w:lastRenderedPageBreak/>
        <w:t>sólo se observó dos (2) boletas de venta expedidas a favor de dicho postor, ambas del año 2005, así como dos (2) facturas de los años 1997 y 1998, y diversas proformas correspondientes al postor adjudicatario de los años 2007 y 2008.</w:t>
      </w:r>
    </w:p>
    <w:p w:rsidR="00867EB5" w:rsidRPr="00990083" w:rsidRDefault="00867EB5" w:rsidP="00867EB5">
      <w:pPr>
        <w:pStyle w:val="Prrafodelista"/>
        <w:tabs>
          <w:tab w:val="num" w:pos="709"/>
        </w:tabs>
        <w:ind w:left="567"/>
        <w:contextualSpacing/>
        <w:jc w:val="both"/>
        <w:rPr>
          <w:i/>
          <w:sz w:val="20"/>
        </w:rPr>
      </w:pPr>
    </w:p>
    <w:p w:rsidR="00867EB5" w:rsidRPr="00990083" w:rsidRDefault="00867EB5" w:rsidP="00867EB5">
      <w:pPr>
        <w:pStyle w:val="Prrafodelista"/>
        <w:tabs>
          <w:tab w:val="num" w:pos="709"/>
        </w:tabs>
        <w:ind w:left="567"/>
        <w:contextualSpacing/>
        <w:jc w:val="both"/>
        <w:rPr>
          <w:i/>
          <w:sz w:val="20"/>
        </w:rPr>
      </w:pPr>
      <w:r w:rsidRPr="00990083">
        <w:rPr>
          <w:i/>
          <w:sz w:val="20"/>
        </w:rPr>
        <w:t>En este orden de ideas, ha quedado ratificada la imputación efectuada por el recurrente contra la documentación presentada por el postor adjudicatario, con el mérito de la actuación probatoria, pues se ha comprobado que, en efecto, las facturas obrantes en la propuesta técnica del postor ganador han sido adulteradas, en lo que se refiere a su contenido, sobre la fecha de su emisión</w:t>
      </w:r>
      <w:r w:rsidRPr="00990083">
        <w:rPr>
          <w:sz w:val="20"/>
        </w:rPr>
        <w:footnoteReference w:id="3"/>
      </w:r>
      <w:r w:rsidRPr="00990083">
        <w:rPr>
          <w:i/>
          <w:sz w:val="20"/>
        </w:rPr>
        <w:t xml:space="preserve">, así como en la fecha de autorización de su impresión por parte de la SUNAT. Por tanto, se concluye que la información allí contenida no se ajusta a la realidad, lo que ha sido plenamente demostrado en el procedimiento de autos, a partir de la valoración que ha efectuado este Tribunal sobre la documentación remitida por el recurrente y la actuada de oficio. </w:t>
      </w:r>
    </w:p>
    <w:p w:rsidR="00867EB5" w:rsidRPr="00990083" w:rsidRDefault="00867EB5" w:rsidP="00867EB5">
      <w:pPr>
        <w:pStyle w:val="Prrafodelista"/>
        <w:tabs>
          <w:tab w:val="num" w:pos="709"/>
        </w:tabs>
        <w:ind w:left="567"/>
        <w:contextualSpacing/>
        <w:jc w:val="both"/>
        <w:rPr>
          <w:i/>
          <w:sz w:val="20"/>
        </w:rPr>
      </w:pPr>
    </w:p>
    <w:p w:rsidR="00867EB5" w:rsidRPr="00990083" w:rsidRDefault="00867EB5" w:rsidP="00867EB5">
      <w:pPr>
        <w:pStyle w:val="Prrafodelista"/>
        <w:tabs>
          <w:tab w:val="num" w:pos="709"/>
        </w:tabs>
        <w:ind w:left="567"/>
        <w:contextualSpacing/>
        <w:jc w:val="both"/>
        <w:rPr>
          <w:i/>
          <w:sz w:val="20"/>
        </w:rPr>
      </w:pPr>
      <w:r w:rsidRPr="00990083">
        <w:rPr>
          <w:i/>
          <w:sz w:val="20"/>
        </w:rPr>
        <w:t>Bajo este contexto, no puede soslayarse que la responsabilidad por la presentación de documentos falsos o inexactos corresponde al administrado que lo presentó en el trámite del procedimiento administrativo.</w:t>
      </w:r>
    </w:p>
    <w:p w:rsidR="00867EB5" w:rsidRPr="00990083" w:rsidRDefault="00867EB5" w:rsidP="00867EB5">
      <w:pPr>
        <w:pStyle w:val="Prrafodelista"/>
        <w:tabs>
          <w:tab w:val="num" w:pos="709"/>
        </w:tabs>
        <w:ind w:left="567"/>
        <w:contextualSpacing/>
        <w:jc w:val="both"/>
        <w:rPr>
          <w:i/>
          <w:sz w:val="20"/>
        </w:rPr>
      </w:pPr>
    </w:p>
    <w:p w:rsidR="00867EB5" w:rsidRPr="00990083" w:rsidRDefault="00867EB5" w:rsidP="00867EB5">
      <w:pPr>
        <w:pStyle w:val="Prrafodelista"/>
        <w:tabs>
          <w:tab w:val="num" w:pos="709"/>
        </w:tabs>
        <w:ind w:left="567"/>
        <w:contextualSpacing/>
        <w:jc w:val="both"/>
        <w:rPr>
          <w:i/>
          <w:sz w:val="20"/>
        </w:rPr>
      </w:pPr>
      <w:r w:rsidRPr="00990083">
        <w:rPr>
          <w:i/>
          <w:sz w:val="20"/>
        </w:rPr>
        <w:t xml:space="preserve">En efecto, el artículo 119 del RCLAE, prescribe que el postor es responsable de la exactitud y veracidad de los documentos que conforman su propuesta técnica. </w:t>
      </w:r>
    </w:p>
    <w:p w:rsidR="00867EB5" w:rsidRPr="00990083" w:rsidRDefault="00867EB5" w:rsidP="00867EB5">
      <w:pPr>
        <w:pStyle w:val="Prrafodelista"/>
        <w:tabs>
          <w:tab w:val="num" w:pos="709"/>
        </w:tabs>
        <w:ind w:left="567"/>
        <w:contextualSpacing/>
        <w:jc w:val="both"/>
        <w:rPr>
          <w:i/>
          <w:sz w:val="20"/>
        </w:rPr>
      </w:pPr>
    </w:p>
    <w:p w:rsidR="00867EB5" w:rsidRPr="00990083" w:rsidRDefault="00867EB5" w:rsidP="00867EB5">
      <w:pPr>
        <w:pStyle w:val="Prrafodelista"/>
        <w:tabs>
          <w:tab w:val="num" w:pos="709"/>
        </w:tabs>
        <w:ind w:left="567"/>
        <w:contextualSpacing/>
        <w:jc w:val="both"/>
        <w:rPr>
          <w:i/>
          <w:sz w:val="20"/>
        </w:rPr>
      </w:pPr>
      <w:r w:rsidRPr="00990083">
        <w:rPr>
          <w:i/>
          <w:sz w:val="20"/>
        </w:rPr>
        <w:t xml:space="preserve">De acuerdo a lo señalado, se infiere que la conducta del postor adjudicatario supone una clara afectación al Principio de Moralidad que rige imperativamente el sistema de contratación pública, cuyo tenor dispone que los actos referidos a las contrataciones y adquisiciones deben caracterizarse por la honradez, veracidad, intangibilidad, justicia y probidad. Asimismo, se advierte el quebrantamiento al Principio de Presunción de Veracidad, dado que en el presente caso se ha comprobado que la información obrante en la propuesta del postor ganador se encontraba adulterada. </w:t>
      </w:r>
    </w:p>
    <w:p w:rsidR="00867EB5" w:rsidRPr="00990083" w:rsidRDefault="00867EB5" w:rsidP="00867EB5">
      <w:pPr>
        <w:pStyle w:val="Prrafodelista"/>
        <w:tabs>
          <w:tab w:val="num" w:pos="709"/>
        </w:tabs>
        <w:ind w:left="567"/>
        <w:contextualSpacing/>
        <w:jc w:val="both"/>
        <w:rPr>
          <w:i/>
          <w:sz w:val="20"/>
        </w:rPr>
      </w:pPr>
    </w:p>
    <w:p w:rsidR="00867EB5" w:rsidRPr="00990083" w:rsidRDefault="00867EB5" w:rsidP="00867EB5">
      <w:pPr>
        <w:pStyle w:val="Prrafodelista"/>
        <w:tabs>
          <w:tab w:val="num" w:pos="709"/>
        </w:tabs>
        <w:ind w:left="567"/>
        <w:contextualSpacing/>
        <w:jc w:val="both"/>
        <w:rPr>
          <w:i/>
          <w:sz w:val="20"/>
        </w:rPr>
      </w:pPr>
      <w:r w:rsidRPr="00990083">
        <w:rPr>
          <w:i/>
          <w:sz w:val="20"/>
        </w:rPr>
        <w:t>Conforme lo ha sostenido este Tribunal en anteriores oportunidades, la conducta consistente en incluir información inexacta y/o falsa dentro de las propuestas, supone la contravención de los citados principios por parte de los postores y amerita de plano la descalificación de sus propuestas, toda vez que aquellos contienen directrices y constituyen patrones de conducta que inspiran el sistema de compras públicas, debiendo tenerse en cuenta que son los propios oferentes los responsables de la veracidad de todos los documentos e información que presentan para efectos del proceso de selección.</w:t>
      </w:r>
    </w:p>
    <w:p w:rsidR="00867EB5" w:rsidRPr="00990083" w:rsidRDefault="00867EB5" w:rsidP="00867EB5">
      <w:pPr>
        <w:pStyle w:val="Prrafodelista"/>
        <w:tabs>
          <w:tab w:val="num" w:pos="709"/>
        </w:tabs>
        <w:ind w:left="567"/>
        <w:contextualSpacing/>
        <w:jc w:val="both"/>
        <w:rPr>
          <w:i/>
          <w:sz w:val="20"/>
        </w:rPr>
      </w:pPr>
    </w:p>
    <w:p w:rsidR="00867EB5" w:rsidRPr="00990083" w:rsidRDefault="00867EB5" w:rsidP="00867EB5">
      <w:pPr>
        <w:pStyle w:val="Prrafodelista"/>
        <w:tabs>
          <w:tab w:val="num" w:pos="709"/>
        </w:tabs>
        <w:ind w:left="567"/>
        <w:contextualSpacing/>
        <w:jc w:val="both"/>
        <w:rPr>
          <w:i/>
          <w:sz w:val="20"/>
        </w:rPr>
      </w:pPr>
      <w:r w:rsidRPr="00990083">
        <w:rPr>
          <w:i/>
          <w:sz w:val="20"/>
        </w:rPr>
        <w:t xml:space="preserve">En consecuencia, corresponde amparar el cuestionamiento del impugnante, razón por la cual debe descalificarse al postor adjudicatario. </w:t>
      </w:r>
    </w:p>
    <w:p w:rsidR="00867EB5" w:rsidRPr="00990083" w:rsidRDefault="00867EB5" w:rsidP="00867EB5">
      <w:pPr>
        <w:pStyle w:val="Prrafodelista"/>
        <w:tabs>
          <w:tab w:val="num" w:pos="709"/>
        </w:tabs>
        <w:ind w:left="567"/>
        <w:contextualSpacing/>
        <w:jc w:val="both"/>
        <w:rPr>
          <w:i/>
          <w:sz w:val="20"/>
        </w:rPr>
      </w:pPr>
    </w:p>
    <w:p w:rsidR="00867EB5" w:rsidRPr="00990083" w:rsidRDefault="00867EB5" w:rsidP="00867EB5">
      <w:pPr>
        <w:pStyle w:val="Prrafodelista"/>
        <w:tabs>
          <w:tab w:val="num" w:pos="709"/>
        </w:tabs>
        <w:ind w:left="567"/>
        <w:contextualSpacing/>
        <w:jc w:val="both"/>
        <w:rPr>
          <w:i/>
          <w:sz w:val="20"/>
        </w:rPr>
      </w:pPr>
      <w:r w:rsidRPr="00990083">
        <w:rPr>
          <w:i/>
          <w:sz w:val="20"/>
        </w:rPr>
        <w:t>Como consecuencia de lo anterior, atendiendo a las competencias conferidas por Ley a este Tribunal, corresponde disponer la apertura del expediente de imposición de sanción a Reynaldo Flores Depaz, a fin de que se determine su responsabilidad administrativa por la presentación de documentos falsos y/o inexactos en su propuesta técnica, al encontrarse dicha conducta tipificada como infracción en el numeral 9) del artículo 294 del RLCAE.”</w:t>
      </w:r>
    </w:p>
    <w:p w:rsidR="00867EB5" w:rsidRPr="00012835" w:rsidRDefault="00867EB5" w:rsidP="00867EB5">
      <w:pPr>
        <w:pStyle w:val="Listaconvietas3"/>
        <w:numPr>
          <w:ilvl w:val="0"/>
          <w:numId w:val="0"/>
        </w:numPr>
        <w:ind w:left="567"/>
      </w:pPr>
    </w:p>
    <w:p w:rsidR="00867EB5" w:rsidRDefault="00867EB5" w:rsidP="00867EB5">
      <w:pPr>
        <w:pStyle w:val="Sangradetextonormal"/>
        <w:numPr>
          <w:ilvl w:val="0"/>
          <w:numId w:val="9"/>
        </w:numPr>
        <w:tabs>
          <w:tab w:val="num" w:pos="709"/>
        </w:tabs>
        <w:spacing w:after="0"/>
        <w:ind w:left="567" w:hanging="567"/>
        <w:jc w:val="both"/>
        <w:rPr>
          <w:rFonts w:ascii="Tahoma" w:hAnsi="Tahoma" w:cs="Tahoma"/>
          <w:sz w:val="22"/>
          <w:szCs w:val="22"/>
        </w:rPr>
      </w:pPr>
      <w:r w:rsidRPr="00012835">
        <w:rPr>
          <w:rFonts w:ascii="Tahoma" w:hAnsi="Tahoma" w:cs="Tahoma"/>
          <w:sz w:val="22"/>
          <w:szCs w:val="22"/>
        </w:rPr>
        <w:t xml:space="preserve">Ahora bien, este Colegiado tuvo a la vista la Carta </w:t>
      </w:r>
      <w:r w:rsidRPr="00012835">
        <w:rPr>
          <w:rFonts w:ascii="Tahoma" w:hAnsi="Tahoma" w:cs="Tahoma"/>
          <w:color w:val="000000" w:themeColor="text1"/>
          <w:sz w:val="22"/>
          <w:szCs w:val="22"/>
        </w:rPr>
        <w:t xml:space="preserve">S/N </w:t>
      </w:r>
      <w:r w:rsidRPr="00012835">
        <w:rPr>
          <w:rFonts w:ascii="Tahoma" w:hAnsi="Tahoma" w:cs="Tahoma"/>
          <w:sz w:val="22"/>
          <w:szCs w:val="22"/>
        </w:rPr>
        <w:t xml:space="preserve">remitida por la empresa </w:t>
      </w:r>
      <w:r w:rsidRPr="00012835">
        <w:rPr>
          <w:rFonts w:ascii="Tahoma" w:hAnsi="Tahoma" w:cs="Tahoma"/>
          <w:color w:val="000000" w:themeColor="text1"/>
          <w:sz w:val="22"/>
          <w:szCs w:val="22"/>
        </w:rPr>
        <w:t xml:space="preserve">Editora Grafica El Satélite S.A. que ingresó por Mesa de Partes del Tribunal de Contrataciones del Estado el 21 de agosto de 2008 y el Comprobante de </w:t>
      </w:r>
      <w:r w:rsidRPr="00012835">
        <w:rPr>
          <w:rFonts w:ascii="Tahoma" w:hAnsi="Tahoma" w:cs="Tahoma"/>
          <w:color w:val="000000" w:themeColor="text1"/>
          <w:sz w:val="22"/>
          <w:szCs w:val="22"/>
        </w:rPr>
        <w:lastRenderedPageBreak/>
        <w:t>Información Registrada-SUNAT, adjunto a dicha Carta</w:t>
      </w:r>
      <w:r>
        <w:rPr>
          <w:rFonts w:ascii="Tahoma" w:hAnsi="Tahoma" w:cs="Tahoma"/>
          <w:color w:val="000000" w:themeColor="text1"/>
          <w:sz w:val="22"/>
          <w:szCs w:val="22"/>
        </w:rPr>
        <w:t>,</w:t>
      </w:r>
      <w:r w:rsidRPr="00012835">
        <w:rPr>
          <w:rFonts w:ascii="Tahoma" w:hAnsi="Tahoma" w:cs="Tahoma"/>
          <w:sz w:val="22"/>
          <w:szCs w:val="22"/>
        </w:rPr>
        <w:t xml:space="preserve"> en el cual se puede apreciar lo manifestado por </w:t>
      </w:r>
      <w:r>
        <w:rPr>
          <w:rFonts w:ascii="Tahoma" w:hAnsi="Tahoma" w:cs="Tahoma"/>
          <w:sz w:val="22"/>
          <w:szCs w:val="22"/>
        </w:rPr>
        <w:t>este</w:t>
      </w:r>
      <w:r w:rsidRPr="00012835">
        <w:rPr>
          <w:rFonts w:ascii="Tahoma" w:hAnsi="Tahoma" w:cs="Tahoma"/>
          <w:sz w:val="22"/>
          <w:szCs w:val="22"/>
        </w:rPr>
        <w:t xml:space="preserve"> Tribunal en aquella oportunidad.</w:t>
      </w:r>
    </w:p>
    <w:p w:rsidR="00867EB5" w:rsidRDefault="00867EB5" w:rsidP="00867EB5">
      <w:pPr>
        <w:pStyle w:val="Sangradetextonormal"/>
        <w:spacing w:after="0"/>
        <w:ind w:left="567"/>
        <w:jc w:val="both"/>
        <w:rPr>
          <w:rFonts w:ascii="Tahoma" w:hAnsi="Tahoma" w:cs="Tahoma"/>
          <w:sz w:val="22"/>
          <w:szCs w:val="22"/>
        </w:rPr>
      </w:pPr>
    </w:p>
    <w:p w:rsidR="00867EB5" w:rsidRDefault="00867EB5" w:rsidP="00867EB5">
      <w:pPr>
        <w:pStyle w:val="Sangradetextonormal"/>
        <w:numPr>
          <w:ilvl w:val="0"/>
          <w:numId w:val="9"/>
        </w:numPr>
        <w:tabs>
          <w:tab w:val="num" w:pos="709"/>
        </w:tabs>
        <w:spacing w:after="0"/>
        <w:ind w:left="567" w:hanging="567"/>
        <w:jc w:val="both"/>
        <w:rPr>
          <w:rFonts w:ascii="Tahoma" w:hAnsi="Tahoma" w:cs="Tahoma"/>
          <w:sz w:val="22"/>
          <w:szCs w:val="22"/>
        </w:rPr>
      </w:pPr>
      <w:r w:rsidRPr="00990083">
        <w:rPr>
          <w:rFonts w:ascii="Tahoma" w:hAnsi="Tahoma" w:cs="Tahoma"/>
          <w:sz w:val="22"/>
          <w:szCs w:val="22"/>
        </w:rPr>
        <w:t xml:space="preserve">En ese sentido se puede verificar la adulteración producida en las facturas analizadas, cuya fecha de autorización es del 20 de junio del 2000, ello teniendo en cuenta que la misma empresa </w:t>
      </w:r>
      <w:r w:rsidRPr="00990083">
        <w:rPr>
          <w:rFonts w:ascii="Tahoma" w:hAnsi="Tahoma" w:cs="Tahoma"/>
          <w:i/>
          <w:sz w:val="22"/>
          <w:szCs w:val="22"/>
        </w:rPr>
        <w:t xml:space="preserve">Editora Gráfica “El Satélite” S.A. </w:t>
      </w:r>
      <w:r w:rsidRPr="00990083">
        <w:rPr>
          <w:rFonts w:ascii="Tahoma" w:hAnsi="Tahoma" w:cs="Tahoma"/>
          <w:sz w:val="22"/>
          <w:szCs w:val="22"/>
        </w:rPr>
        <w:t xml:space="preserve">señala que la fecha de impresión de las mismas corresponde al 20/06/2008, es decir, la misma fecha de autorización consignada en el Comprobante de Información Registrada de SUNAT, y no al 20/06/2000, como se consignaron a fin de presentarlos en la Propuesta Técnica. </w:t>
      </w:r>
    </w:p>
    <w:p w:rsidR="00867EB5" w:rsidRDefault="00867EB5" w:rsidP="00867EB5">
      <w:pPr>
        <w:pStyle w:val="Prrafodelista"/>
        <w:rPr>
          <w:rFonts w:ascii="Tahoma" w:hAnsi="Tahoma" w:cs="Tahoma"/>
          <w:sz w:val="22"/>
          <w:szCs w:val="22"/>
        </w:rPr>
      </w:pPr>
    </w:p>
    <w:p w:rsidR="00867EB5" w:rsidRPr="00990083" w:rsidRDefault="00867EB5" w:rsidP="00867EB5">
      <w:pPr>
        <w:pStyle w:val="Sangradetextonormal"/>
        <w:numPr>
          <w:ilvl w:val="0"/>
          <w:numId w:val="9"/>
        </w:numPr>
        <w:tabs>
          <w:tab w:val="num" w:pos="709"/>
        </w:tabs>
        <w:spacing w:after="0"/>
        <w:ind w:left="567" w:hanging="567"/>
        <w:jc w:val="both"/>
        <w:rPr>
          <w:rFonts w:ascii="Tahoma" w:hAnsi="Tahoma" w:cs="Tahoma"/>
          <w:sz w:val="22"/>
          <w:szCs w:val="22"/>
        </w:rPr>
      </w:pPr>
      <w:r w:rsidRPr="00990083">
        <w:rPr>
          <w:rFonts w:ascii="Tahoma" w:hAnsi="Tahoma" w:cs="Tahoma"/>
          <w:sz w:val="22"/>
          <w:szCs w:val="22"/>
        </w:rPr>
        <w:t>Asimismo, teniéndose a la vista la Carta S/N presentada por el Denunciado se aprecia que éste reconoce que recién, con ocasión de la convocatoria del referido proceso de selección, solicitó la autorización a la SUNAT para la impresión de facturas; no obstante, dicha autorización la obtuvo el 20 de junio de 2008, conforme a lo informado por la empresa Editora Gráfica “El Satélite” S.A., es decir, antes de la fecha de la convocatoria (8 de julio de 2008).</w:t>
      </w:r>
    </w:p>
    <w:p w:rsidR="00867EB5" w:rsidRPr="00990083" w:rsidRDefault="00867EB5" w:rsidP="00867EB5">
      <w:pPr>
        <w:pStyle w:val="Prrafodelista"/>
        <w:tabs>
          <w:tab w:val="num" w:pos="709"/>
        </w:tabs>
        <w:ind w:left="567"/>
        <w:contextualSpacing/>
        <w:jc w:val="both"/>
        <w:rPr>
          <w:rFonts w:ascii="Tahoma" w:hAnsi="Tahoma" w:cs="Tahoma"/>
          <w:sz w:val="22"/>
          <w:szCs w:val="22"/>
        </w:rPr>
      </w:pPr>
    </w:p>
    <w:p w:rsidR="00867EB5" w:rsidRDefault="00867EB5" w:rsidP="00867EB5">
      <w:pPr>
        <w:pStyle w:val="Prrafodelista"/>
        <w:tabs>
          <w:tab w:val="num" w:pos="709"/>
        </w:tabs>
        <w:ind w:left="567"/>
        <w:contextualSpacing/>
        <w:jc w:val="both"/>
        <w:rPr>
          <w:rFonts w:ascii="Tahoma" w:hAnsi="Tahoma" w:cs="Tahoma"/>
          <w:sz w:val="22"/>
          <w:szCs w:val="22"/>
        </w:rPr>
      </w:pPr>
      <w:r w:rsidRPr="00990083">
        <w:rPr>
          <w:rFonts w:ascii="Tahoma" w:hAnsi="Tahoma" w:cs="Tahoma"/>
          <w:sz w:val="22"/>
          <w:szCs w:val="22"/>
        </w:rPr>
        <w:t>Afirma, además, que a fin de presentar la documentación requerida en las Bases para la asignación del puntaje previsto en el factor referido al monto facturado, emitió facturas de acuerdo a su Registro de Ventas, respecto de transacciones que se realizaron en los años 2001, 2002, 2004, 2005, 2006 y 2007, pero la fecha de autorización para la impresión de estas facturas es del 20 de junio de 2008, con lo cual se evidencia que la fecha de impresión que figura en el extremo inferior izquierdo de las facturas, 20 de junio de 2000, no corresponde a la realidad.</w:t>
      </w:r>
    </w:p>
    <w:p w:rsidR="00867EB5" w:rsidRDefault="00867EB5" w:rsidP="00867EB5">
      <w:pPr>
        <w:pStyle w:val="Prrafodelista"/>
        <w:tabs>
          <w:tab w:val="num" w:pos="709"/>
        </w:tabs>
        <w:ind w:left="567"/>
        <w:contextualSpacing/>
        <w:jc w:val="both"/>
        <w:rPr>
          <w:rFonts w:ascii="Tahoma" w:hAnsi="Tahoma" w:cs="Tahoma"/>
          <w:sz w:val="22"/>
          <w:szCs w:val="22"/>
        </w:rPr>
      </w:pPr>
    </w:p>
    <w:p w:rsidR="00867EB5" w:rsidRDefault="00867EB5" w:rsidP="00867EB5">
      <w:pPr>
        <w:pStyle w:val="Prrafodelista"/>
        <w:widowControl/>
        <w:numPr>
          <w:ilvl w:val="0"/>
          <w:numId w:val="9"/>
        </w:numPr>
        <w:suppressAutoHyphens w:val="0"/>
        <w:ind w:left="567" w:hanging="567"/>
        <w:contextualSpacing/>
        <w:jc w:val="both"/>
        <w:rPr>
          <w:rFonts w:ascii="Tahoma" w:hAnsi="Tahoma" w:cs="Tahoma"/>
          <w:sz w:val="22"/>
          <w:szCs w:val="22"/>
        </w:rPr>
      </w:pPr>
      <w:r w:rsidRPr="00990083">
        <w:rPr>
          <w:rFonts w:ascii="Tahoma" w:hAnsi="Tahoma" w:cs="Tahoma"/>
          <w:sz w:val="22"/>
          <w:szCs w:val="22"/>
        </w:rPr>
        <w:t xml:space="preserve">Por lo tanto, habiéndose advertido la afectación del Principio de Presunción de Veracidad  y del Principio de Moralidad  por parte del Postor denunciado, se ha configurado la infracción tipificada </w:t>
      </w:r>
      <w:r w:rsidRPr="00990083">
        <w:rPr>
          <w:rFonts w:ascii="Tahoma" w:hAnsi="Tahoma" w:cs="Tahoma"/>
          <w:sz w:val="22"/>
          <w:szCs w:val="22"/>
          <w:lang w:val="es-PE"/>
        </w:rPr>
        <w:t xml:space="preserve">en el numeral 9) del artículo 294 del Reglamento de la Ley de Contrataciones y Adquisiciones del Estado, </w:t>
      </w:r>
      <w:r w:rsidRPr="00990083">
        <w:rPr>
          <w:rFonts w:ascii="Tahoma" w:hAnsi="Tahoma" w:cs="Tahoma"/>
          <w:sz w:val="22"/>
          <w:szCs w:val="22"/>
        </w:rPr>
        <w:t>aprobado por Decreto Supremo Nº 084-2004-PCM, existiendo mérito suficiente para imponer la corresp</w:t>
      </w:r>
      <w:r>
        <w:rPr>
          <w:rFonts w:ascii="Tahoma" w:hAnsi="Tahoma" w:cs="Tahoma"/>
          <w:sz w:val="22"/>
          <w:szCs w:val="22"/>
        </w:rPr>
        <w:t>ondiente sanción administrativa.</w:t>
      </w:r>
    </w:p>
    <w:p w:rsidR="00867EB5" w:rsidRDefault="00867EB5" w:rsidP="00867EB5">
      <w:pPr>
        <w:pStyle w:val="Prrafodelista"/>
        <w:ind w:left="567"/>
        <w:contextualSpacing/>
        <w:jc w:val="both"/>
        <w:rPr>
          <w:rFonts w:ascii="Tahoma" w:hAnsi="Tahoma" w:cs="Tahoma"/>
          <w:sz w:val="22"/>
          <w:szCs w:val="22"/>
        </w:rPr>
      </w:pPr>
    </w:p>
    <w:p w:rsidR="00867EB5" w:rsidRDefault="00867EB5" w:rsidP="00867EB5">
      <w:pPr>
        <w:pStyle w:val="Prrafodelista"/>
        <w:widowControl/>
        <w:numPr>
          <w:ilvl w:val="0"/>
          <w:numId w:val="9"/>
        </w:numPr>
        <w:suppressAutoHyphens w:val="0"/>
        <w:ind w:left="567" w:hanging="567"/>
        <w:contextualSpacing/>
        <w:jc w:val="both"/>
        <w:rPr>
          <w:rFonts w:ascii="Tahoma" w:hAnsi="Tahoma" w:cs="Tahoma"/>
          <w:sz w:val="22"/>
          <w:szCs w:val="22"/>
        </w:rPr>
      </w:pPr>
      <w:r w:rsidRPr="00990083">
        <w:rPr>
          <w:rFonts w:ascii="Tahoma" w:hAnsi="Tahoma" w:cs="Tahoma"/>
          <w:sz w:val="22"/>
          <w:szCs w:val="22"/>
        </w:rPr>
        <w:t>En relación a la graduación de la sanción imponible, el artículo 294 del Reglamento, establece que los proveedores, participantes, postores o contratistas que incurran en las causales establecidas en los incisos 3), 7), 8), 9), 10) y 11) serán sancionados con inhabilitación temporal para contratar con el Estado por un periodo no menor de (3) tres meses ni mayor de un (1) año.</w:t>
      </w:r>
    </w:p>
    <w:p w:rsidR="00867EB5" w:rsidRPr="00990083" w:rsidRDefault="00867EB5" w:rsidP="00867EB5">
      <w:pPr>
        <w:pStyle w:val="Prrafodelista"/>
        <w:rPr>
          <w:rFonts w:ascii="Tahoma" w:hAnsi="Tahoma" w:cs="Tahoma"/>
          <w:sz w:val="22"/>
          <w:szCs w:val="22"/>
        </w:rPr>
      </w:pPr>
    </w:p>
    <w:p w:rsidR="00867EB5" w:rsidRDefault="00867EB5" w:rsidP="00867EB5">
      <w:pPr>
        <w:pStyle w:val="Prrafodelista"/>
        <w:widowControl/>
        <w:numPr>
          <w:ilvl w:val="0"/>
          <w:numId w:val="9"/>
        </w:numPr>
        <w:suppressAutoHyphens w:val="0"/>
        <w:ind w:left="567" w:hanging="567"/>
        <w:contextualSpacing/>
        <w:jc w:val="both"/>
        <w:rPr>
          <w:rFonts w:ascii="Tahoma" w:hAnsi="Tahoma" w:cs="Tahoma"/>
          <w:sz w:val="22"/>
          <w:szCs w:val="22"/>
        </w:rPr>
      </w:pPr>
      <w:r w:rsidRPr="00990083">
        <w:rPr>
          <w:rFonts w:ascii="Tahoma" w:hAnsi="Tahoma" w:cs="Tahoma"/>
          <w:sz w:val="22"/>
          <w:szCs w:val="22"/>
        </w:rPr>
        <w:t xml:space="preserve">De esta manera, se debe graduar la sanción, tal como establece el artículo 302 del Reglamento de la Ley, atendiendo a la naturaleza de la infracción, la intencionalidad del infractor, el daño causado, la reiterancia, el reconocimiento de la infracción cometida antes de que sea detectada, las circunstancias de </w:t>
      </w:r>
      <w:r w:rsidRPr="00990083">
        <w:rPr>
          <w:rFonts w:ascii="Tahoma" w:hAnsi="Tahoma" w:cs="Tahoma"/>
          <w:sz w:val="22"/>
          <w:szCs w:val="22"/>
        </w:rPr>
        <w:lastRenderedPageBreak/>
        <w:t>tiempo, lugar y modo, las condiciones del infractor, y la conducta procesal del infractor.</w:t>
      </w:r>
    </w:p>
    <w:p w:rsidR="00867EB5" w:rsidRPr="00990083" w:rsidRDefault="00867EB5" w:rsidP="00867EB5">
      <w:pPr>
        <w:pStyle w:val="Prrafodelista"/>
        <w:rPr>
          <w:rFonts w:ascii="Tahoma" w:hAnsi="Tahoma" w:cs="Tahoma"/>
          <w:sz w:val="22"/>
          <w:szCs w:val="22"/>
        </w:rPr>
      </w:pPr>
    </w:p>
    <w:p w:rsidR="00867EB5" w:rsidRDefault="00867EB5" w:rsidP="00867EB5">
      <w:pPr>
        <w:pStyle w:val="Prrafodelista"/>
        <w:widowControl/>
        <w:numPr>
          <w:ilvl w:val="0"/>
          <w:numId w:val="9"/>
        </w:numPr>
        <w:suppressAutoHyphens w:val="0"/>
        <w:ind w:left="567" w:hanging="567"/>
        <w:contextualSpacing/>
        <w:jc w:val="both"/>
        <w:rPr>
          <w:rFonts w:ascii="Tahoma" w:hAnsi="Tahoma" w:cs="Tahoma"/>
          <w:sz w:val="22"/>
          <w:szCs w:val="22"/>
        </w:rPr>
      </w:pPr>
      <w:r w:rsidRPr="00990083">
        <w:rPr>
          <w:rFonts w:ascii="Tahoma" w:hAnsi="Tahoma" w:cs="Tahoma"/>
          <w:sz w:val="22"/>
          <w:szCs w:val="22"/>
        </w:rPr>
        <w:t xml:space="preserve">En ese sentido, atendiendo a la naturaleza de la infracción, debe tenerse en cuenta que ésta reviste una considerable gravedad pues vulnera el </w:t>
      </w:r>
      <w:r w:rsidRPr="00990083">
        <w:rPr>
          <w:rFonts w:ascii="Tahoma" w:hAnsi="Tahoma" w:cs="Tahoma"/>
          <w:i/>
          <w:sz w:val="22"/>
          <w:szCs w:val="22"/>
        </w:rPr>
        <w:t>Principio de Moralidad</w:t>
      </w:r>
      <w:r w:rsidRPr="00990083">
        <w:rPr>
          <w:rFonts w:ascii="Tahoma" w:hAnsi="Tahoma" w:cs="Tahoma"/>
          <w:sz w:val="22"/>
          <w:szCs w:val="22"/>
        </w:rPr>
        <w:t xml:space="preserve"> que debe regir a todos los actos vinculados a las contrataciones públicas, conforme a lo prescrito en el literal b) del artículo 4 de la Ley.  Por lo demás, dicho principio, junto a la </w:t>
      </w:r>
      <w:r w:rsidRPr="00990083">
        <w:rPr>
          <w:rFonts w:ascii="Tahoma" w:hAnsi="Tahoma" w:cs="Tahoma"/>
          <w:i/>
          <w:sz w:val="22"/>
          <w:szCs w:val="22"/>
        </w:rPr>
        <w:t>Fe Pública</w:t>
      </w:r>
      <w:r w:rsidRPr="00990083">
        <w:rPr>
          <w:rFonts w:ascii="Tahoma" w:hAnsi="Tahoma" w:cs="Tahoma"/>
          <w:sz w:val="22"/>
          <w:szCs w:val="22"/>
        </w:rPr>
        <w:t>, constituyen bienes jurídicos merecedores de protección especial, pues constituyen los pilares que rigen las relaciones suscitadas entre la Administración Pública y los administrados.</w:t>
      </w:r>
    </w:p>
    <w:p w:rsidR="00867EB5" w:rsidRPr="00990083" w:rsidRDefault="00867EB5" w:rsidP="00867EB5">
      <w:pPr>
        <w:pStyle w:val="Prrafodelista"/>
        <w:rPr>
          <w:rFonts w:ascii="Tahoma" w:hAnsi="Tahoma" w:cs="Tahoma"/>
          <w:sz w:val="22"/>
          <w:szCs w:val="22"/>
          <w:lang w:val="es-PE"/>
        </w:rPr>
      </w:pPr>
    </w:p>
    <w:p w:rsidR="00867EB5" w:rsidRPr="00990083" w:rsidRDefault="00867EB5" w:rsidP="00867EB5">
      <w:pPr>
        <w:pStyle w:val="Prrafodelista"/>
        <w:widowControl/>
        <w:numPr>
          <w:ilvl w:val="0"/>
          <w:numId w:val="9"/>
        </w:numPr>
        <w:suppressAutoHyphens w:val="0"/>
        <w:ind w:left="567" w:hanging="567"/>
        <w:contextualSpacing/>
        <w:jc w:val="both"/>
        <w:rPr>
          <w:rFonts w:ascii="Tahoma" w:hAnsi="Tahoma" w:cs="Tahoma"/>
          <w:sz w:val="22"/>
          <w:szCs w:val="22"/>
        </w:rPr>
      </w:pPr>
      <w:r w:rsidRPr="00990083">
        <w:rPr>
          <w:rFonts w:ascii="Tahoma" w:hAnsi="Tahoma" w:cs="Tahoma"/>
          <w:sz w:val="22"/>
          <w:szCs w:val="22"/>
          <w:lang w:val="es-PE"/>
        </w:rPr>
        <w:t xml:space="preserve">Respecto a la intencionalidad del infractor, </w:t>
      </w:r>
      <w:r w:rsidRPr="00990083">
        <w:rPr>
          <w:rFonts w:ascii="Tahoma" w:eastAsia="Calibri" w:hAnsi="Tahoma" w:cs="Tahoma"/>
          <w:sz w:val="22"/>
          <w:szCs w:val="22"/>
          <w:lang w:eastAsia="en-US"/>
        </w:rPr>
        <w:t xml:space="preserve">debe tenerse en cuenta que las facturas  materia de análisis fueron presentadas con el fin de acreditar el factor de la experiencia en el proceso de selección. </w:t>
      </w:r>
    </w:p>
    <w:p w:rsidR="00867EB5" w:rsidRPr="00990083" w:rsidRDefault="00867EB5" w:rsidP="00867EB5">
      <w:pPr>
        <w:pStyle w:val="Prrafodelista"/>
        <w:rPr>
          <w:rFonts w:ascii="Tahoma" w:hAnsi="Tahoma" w:cs="Tahoma"/>
          <w:sz w:val="22"/>
          <w:szCs w:val="22"/>
        </w:rPr>
      </w:pPr>
    </w:p>
    <w:p w:rsidR="00867EB5" w:rsidRDefault="00867EB5" w:rsidP="00867EB5">
      <w:pPr>
        <w:pStyle w:val="Prrafodelista"/>
        <w:widowControl/>
        <w:numPr>
          <w:ilvl w:val="0"/>
          <w:numId w:val="9"/>
        </w:numPr>
        <w:suppressAutoHyphens w:val="0"/>
        <w:ind w:left="567" w:hanging="567"/>
        <w:contextualSpacing/>
        <w:jc w:val="both"/>
        <w:rPr>
          <w:rFonts w:ascii="Tahoma" w:hAnsi="Tahoma" w:cs="Tahoma"/>
          <w:sz w:val="22"/>
          <w:szCs w:val="22"/>
        </w:rPr>
      </w:pPr>
      <w:r w:rsidRPr="00990083">
        <w:rPr>
          <w:rFonts w:ascii="Tahoma" w:hAnsi="Tahoma" w:cs="Tahoma"/>
          <w:sz w:val="22"/>
          <w:szCs w:val="22"/>
        </w:rPr>
        <w:t>Respecto al daño causado, debe tenerse presente que la conducta del infractor retrasó el cumplimiento de los objetivos de la Entidad, los mismos que son programados y presupuestados con anticipación, puesto que el respectivo proceso de selección tuvo que declararse desierto.</w:t>
      </w:r>
    </w:p>
    <w:p w:rsidR="00867EB5" w:rsidRPr="00990083" w:rsidRDefault="00867EB5" w:rsidP="00867EB5">
      <w:pPr>
        <w:pStyle w:val="Prrafodelista"/>
        <w:rPr>
          <w:rFonts w:ascii="Tahoma" w:hAnsi="Tahoma" w:cs="Tahoma"/>
          <w:sz w:val="22"/>
          <w:szCs w:val="22"/>
        </w:rPr>
      </w:pPr>
    </w:p>
    <w:p w:rsidR="00867EB5" w:rsidRDefault="00867EB5" w:rsidP="00867EB5">
      <w:pPr>
        <w:pStyle w:val="Prrafodelista"/>
        <w:widowControl/>
        <w:numPr>
          <w:ilvl w:val="0"/>
          <w:numId w:val="9"/>
        </w:numPr>
        <w:suppressAutoHyphens w:val="0"/>
        <w:ind w:left="567" w:hanging="567"/>
        <w:contextualSpacing/>
        <w:jc w:val="both"/>
        <w:rPr>
          <w:rFonts w:ascii="Tahoma" w:hAnsi="Tahoma" w:cs="Tahoma"/>
          <w:sz w:val="22"/>
          <w:szCs w:val="22"/>
        </w:rPr>
      </w:pPr>
      <w:r w:rsidRPr="00990083">
        <w:rPr>
          <w:rFonts w:ascii="Tahoma" w:hAnsi="Tahoma" w:cs="Tahoma"/>
          <w:sz w:val="22"/>
          <w:szCs w:val="22"/>
        </w:rPr>
        <w:t>Asimismo, cabe advertir que el Denunciado no ha reconocido la infracción cometida.</w:t>
      </w:r>
    </w:p>
    <w:p w:rsidR="00867EB5" w:rsidRPr="00990083" w:rsidRDefault="00867EB5" w:rsidP="00867EB5">
      <w:pPr>
        <w:pStyle w:val="Prrafodelista"/>
        <w:rPr>
          <w:rFonts w:ascii="Tahoma" w:hAnsi="Tahoma" w:cs="Tahoma"/>
          <w:sz w:val="22"/>
          <w:szCs w:val="22"/>
        </w:rPr>
      </w:pPr>
    </w:p>
    <w:p w:rsidR="00867EB5" w:rsidRDefault="00867EB5" w:rsidP="00867EB5">
      <w:pPr>
        <w:pStyle w:val="Prrafodelista"/>
        <w:widowControl/>
        <w:numPr>
          <w:ilvl w:val="0"/>
          <w:numId w:val="9"/>
        </w:numPr>
        <w:suppressAutoHyphens w:val="0"/>
        <w:ind w:left="567" w:hanging="567"/>
        <w:contextualSpacing/>
        <w:jc w:val="both"/>
        <w:rPr>
          <w:rFonts w:ascii="Tahoma" w:hAnsi="Tahoma" w:cs="Tahoma"/>
          <w:sz w:val="22"/>
          <w:szCs w:val="22"/>
        </w:rPr>
      </w:pPr>
      <w:r w:rsidRPr="00990083">
        <w:rPr>
          <w:rFonts w:ascii="Tahoma" w:hAnsi="Tahoma" w:cs="Tahoma"/>
          <w:sz w:val="22"/>
          <w:szCs w:val="22"/>
        </w:rPr>
        <w:t>De otro lado, se debe señalar que el Denunciado no ha sido sancionado en anteriores oportunidades por este Tribunal.</w:t>
      </w:r>
    </w:p>
    <w:p w:rsidR="00867EB5" w:rsidRPr="00990083" w:rsidRDefault="00867EB5" w:rsidP="00867EB5">
      <w:pPr>
        <w:pStyle w:val="Prrafodelista"/>
        <w:rPr>
          <w:rFonts w:ascii="Tahoma" w:hAnsi="Tahoma" w:cs="Tahoma"/>
          <w:sz w:val="22"/>
          <w:szCs w:val="22"/>
        </w:rPr>
      </w:pPr>
    </w:p>
    <w:p w:rsidR="00867EB5" w:rsidRDefault="00867EB5" w:rsidP="00867EB5">
      <w:pPr>
        <w:pStyle w:val="Prrafodelista"/>
        <w:widowControl/>
        <w:numPr>
          <w:ilvl w:val="0"/>
          <w:numId w:val="9"/>
        </w:numPr>
        <w:suppressAutoHyphens w:val="0"/>
        <w:ind w:left="567" w:hanging="567"/>
        <w:contextualSpacing/>
        <w:jc w:val="both"/>
        <w:rPr>
          <w:rFonts w:ascii="Tahoma" w:hAnsi="Tahoma" w:cs="Tahoma"/>
          <w:sz w:val="22"/>
          <w:szCs w:val="22"/>
        </w:rPr>
      </w:pPr>
      <w:r w:rsidRPr="00990083">
        <w:rPr>
          <w:rFonts w:ascii="Tahoma" w:hAnsi="Tahoma" w:cs="Tahoma"/>
          <w:sz w:val="22"/>
          <w:szCs w:val="22"/>
        </w:rPr>
        <w:t xml:space="preserve">Resulta importante traer a colación, además, el </w:t>
      </w:r>
      <w:r w:rsidRPr="00990083">
        <w:rPr>
          <w:rFonts w:ascii="Tahoma" w:hAnsi="Tahoma" w:cs="Tahoma"/>
          <w:i/>
          <w:sz w:val="22"/>
          <w:szCs w:val="22"/>
        </w:rPr>
        <w:t>Principio de Razonabilidad</w:t>
      </w:r>
      <w:r w:rsidRPr="00990083">
        <w:rPr>
          <w:rFonts w:ascii="Tahoma" w:hAnsi="Tahoma" w:cs="Tahoma"/>
          <w:sz w:val="22"/>
          <w:szCs w:val="22"/>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867EB5" w:rsidRPr="00990083" w:rsidRDefault="00867EB5" w:rsidP="00867EB5">
      <w:pPr>
        <w:pStyle w:val="Prrafodelista"/>
        <w:rPr>
          <w:rFonts w:ascii="Tahoma" w:hAnsi="Tahoma" w:cs="Tahoma"/>
          <w:sz w:val="22"/>
          <w:szCs w:val="22"/>
        </w:rPr>
      </w:pPr>
    </w:p>
    <w:p w:rsidR="00867EB5" w:rsidRPr="00990083" w:rsidRDefault="00867EB5" w:rsidP="00867EB5">
      <w:pPr>
        <w:pStyle w:val="Prrafodelista"/>
        <w:widowControl/>
        <w:numPr>
          <w:ilvl w:val="0"/>
          <w:numId w:val="9"/>
        </w:numPr>
        <w:suppressAutoHyphens w:val="0"/>
        <w:ind w:left="567" w:hanging="567"/>
        <w:contextualSpacing/>
        <w:jc w:val="both"/>
        <w:rPr>
          <w:rFonts w:ascii="Tahoma" w:hAnsi="Tahoma" w:cs="Tahoma"/>
          <w:sz w:val="22"/>
          <w:szCs w:val="22"/>
        </w:rPr>
      </w:pPr>
      <w:r w:rsidRPr="00990083">
        <w:rPr>
          <w:rFonts w:ascii="Tahoma" w:hAnsi="Tahoma" w:cs="Tahoma"/>
          <w:sz w:val="22"/>
          <w:szCs w:val="22"/>
        </w:rPr>
        <w:t>En el marco de tales criterios de graduación, este Colegiado considera que corresponde imponer al Postor la sanción administrativa de inhabilitación temporal en sus derechos para participar en procesos de selección y contratar con el Estado, por el periodo de diez (10) meses.</w:t>
      </w:r>
    </w:p>
    <w:p w:rsidR="00867EB5" w:rsidRDefault="00867EB5" w:rsidP="00867EB5">
      <w:pPr>
        <w:pStyle w:val="Prrafodelista"/>
        <w:tabs>
          <w:tab w:val="num" w:pos="709"/>
        </w:tabs>
        <w:ind w:left="567"/>
        <w:rPr>
          <w:rFonts w:ascii="Tahoma" w:eastAsiaTheme="minorHAnsi" w:hAnsi="Tahoma" w:cs="Tahoma"/>
          <w:color w:val="000000"/>
          <w:sz w:val="22"/>
          <w:szCs w:val="22"/>
          <w:lang w:eastAsia="en-US"/>
        </w:rPr>
      </w:pPr>
    </w:p>
    <w:p w:rsidR="00867EB5" w:rsidRDefault="00867EB5" w:rsidP="00867EB5">
      <w:pPr>
        <w:pStyle w:val="Prrafodelista"/>
        <w:tabs>
          <w:tab w:val="num" w:pos="709"/>
        </w:tabs>
        <w:ind w:left="567"/>
        <w:rPr>
          <w:rFonts w:ascii="Tahoma" w:eastAsiaTheme="minorHAnsi" w:hAnsi="Tahoma" w:cs="Tahoma"/>
          <w:color w:val="000000"/>
          <w:sz w:val="22"/>
          <w:szCs w:val="22"/>
          <w:lang w:eastAsia="en-US"/>
        </w:rPr>
      </w:pPr>
    </w:p>
    <w:p w:rsidR="00867EB5" w:rsidRPr="00012835" w:rsidRDefault="00867EB5" w:rsidP="00867EB5">
      <w:pPr>
        <w:pStyle w:val="Sangradetextonormal"/>
        <w:tabs>
          <w:tab w:val="num" w:pos="709"/>
        </w:tabs>
        <w:spacing w:after="0"/>
        <w:ind w:left="567"/>
        <w:jc w:val="both"/>
        <w:rPr>
          <w:rFonts w:ascii="Tahoma" w:hAnsi="Tahoma" w:cs="Tahoma"/>
          <w:sz w:val="22"/>
          <w:szCs w:val="22"/>
        </w:rPr>
      </w:pPr>
      <w:r w:rsidRPr="00012835">
        <w:rPr>
          <w:rFonts w:ascii="Tahoma" w:eastAsiaTheme="minorHAnsi" w:hAnsi="Tahoma" w:cs="Tahoma"/>
          <w:color w:val="000000"/>
          <w:sz w:val="22"/>
          <w:szCs w:val="22"/>
          <w:lang w:eastAsia="en-US"/>
        </w:rPr>
        <w:t xml:space="preserve">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w:t>
      </w:r>
      <w:r w:rsidRPr="00012835">
        <w:rPr>
          <w:rFonts w:ascii="Tahoma" w:eastAsiaTheme="minorHAnsi" w:hAnsi="Tahoma" w:cs="Tahoma"/>
          <w:color w:val="000000"/>
          <w:sz w:val="22"/>
          <w:szCs w:val="22"/>
          <w:lang w:eastAsia="en-US"/>
        </w:rPr>
        <w:lastRenderedPageBreak/>
        <w:t>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867EB5" w:rsidRPr="003D0A56" w:rsidRDefault="00867EB5" w:rsidP="00867EB5">
      <w:pPr>
        <w:jc w:val="both"/>
        <w:rPr>
          <w:rFonts w:ascii="Tahoma" w:hAnsi="Tahoma" w:cs="Tahoma"/>
          <w:sz w:val="20"/>
          <w:szCs w:val="20"/>
        </w:rPr>
      </w:pPr>
    </w:p>
    <w:p w:rsidR="00867EB5" w:rsidRPr="003D0A56" w:rsidRDefault="00867EB5" w:rsidP="00867EB5">
      <w:pPr>
        <w:ind w:firstLine="567"/>
        <w:jc w:val="both"/>
        <w:rPr>
          <w:rFonts w:ascii="Tahoma" w:hAnsi="Tahoma" w:cs="Tahoma"/>
          <w:b/>
          <w:sz w:val="20"/>
          <w:szCs w:val="20"/>
        </w:rPr>
      </w:pPr>
      <w:r w:rsidRPr="003D0A56">
        <w:rPr>
          <w:rFonts w:ascii="Tahoma" w:hAnsi="Tahoma" w:cs="Tahoma"/>
          <w:b/>
          <w:sz w:val="20"/>
          <w:szCs w:val="20"/>
        </w:rPr>
        <w:t xml:space="preserve">LA SALA RESUELVE: </w:t>
      </w:r>
    </w:p>
    <w:p w:rsidR="00867EB5" w:rsidRPr="003D0A56" w:rsidRDefault="00867EB5" w:rsidP="00867EB5">
      <w:pPr>
        <w:jc w:val="both"/>
        <w:rPr>
          <w:rFonts w:ascii="Tahoma" w:hAnsi="Tahoma" w:cs="Tahoma"/>
          <w:snapToGrid w:val="0"/>
          <w:sz w:val="20"/>
          <w:szCs w:val="20"/>
        </w:rPr>
      </w:pPr>
    </w:p>
    <w:p w:rsidR="00867EB5" w:rsidRPr="00203779" w:rsidRDefault="00867EB5" w:rsidP="00867EB5">
      <w:pPr>
        <w:pStyle w:val="Sangradetextonormal"/>
        <w:numPr>
          <w:ilvl w:val="0"/>
          <w:numId w:val="10"/>
        </w:numPr>
        <w:tabs>
          <w:tab w:val="num" w:pos="709"/>
          <w:tab w:val="left" w:pos="1985"/>
          <w:tab w:val="left" w:pos="2410"/>
        </w:tabs>
        <w:spacing w:after="0"/>
        <w:ind w:left="567"/>
        <w:jc w:val="both"/>
        <w:rPr>
          <w:rFonts w:ascii="Tahoma" w:hAnsi="Tahoma" w:cs="Tahoma"/>
          <w:b/>
          <w:sz w:val="22"/>
          <w:szCs w:val="22"/>
          <w:lang w:val="es-PE"/>
        </w:rPr>
      </w:pPr>
      <w:r w:rsidRPr="00012835">
        <w:rPr>
          <w:rFonts w:ascii="Tahoma" w:hAnsi="Tahoma" w:cs="Tahoma"/>
          <w:sz w:val="22"/>
          <w:szCs w:val="22"/>
        </w:rPr>
        <w:t xml:space="preserve">Imponer a </w:t>
      </w:r>
      <w:r>
        <w:rPr>
          <w:rFonts w:ascii="Tahoma" w:hAnsi="Tahoma" w:cs="Tahoma"/>
          <w:b/>
          <w:sz w:val="22"/>
          <w:szCs w:val="22"/>
          <w:lang w:val="es-PE"/>
        </w:rPr>
        <w:t>REYNALDO</w:t>
      </w:r>
      <w:r w:rsidRPr="00012835">
        <w:rPr>
          <w:rFonts w:ascii="Tahoma" w:hAnsi="Tahoma" w:cs="Tahoma"/>
          <w:b/>
          <w:sz w:val="22"/>
          <w:szCs w:val="22"/>
          <w:lang w:val="es-PE"/>
        </w:rPr>
        <w:t xml:space="preserve"> ALFONZO FLORES DEPA</w:t>
      </w:r>
      <w:r>
        <w:rPr>
          <w:rFonts w:ascii="Tahoma" w:hAnsi="Tahoma" w:cs="Tahoma"/>
          <w:b/>
          <w:sz w:val="22"/>
          <w:szCs w:val="22"/>
          <w:lang w:val="es-PE"/>
        </w:rPr>
        <w:t xml:space="preserve">Z </w:t>
      </w:r>
      <w:r w:rsidRPr="00012835">
        <w:rPr>
          <w:rFonts w:ascii="Tahoma" w:hAnsi="Tahoma" w:cs="Tahoma"/>
          <w:sz w:val="22"/>
          <w:szCs w:val="22"/>
        </w:rPr>
        <w:t xml:space="preserve">sanción administrativa de inhabilitación temporal por el período de </w:t>
      </w:r>
      <w:r>
        <w:rPr>
          <w:rFonts w:ascii="Tahoma" w:hAnsi="Tahoma" w:cs="Tahoma"/>
          <w:sz w:val="22"/>
          <w:szCs w:val="22"/>
        </w:rPr>
        <w:t>diez (10</w:t>
      </w:r>
      <w:r w:rsidRPr="00012835">
        <w:rPr>
          <w:rFonts w:ascii="Tahoma" w:hAnsi="Tahoma" w:cs="Tahoma"/>
          <w:sz w:val="22"/>
          <w:szCs w:val="22"/>
        </w:rPr>
        <w:t>) meses en sus derechos de participar en procesos de selección y contratar con el Estado, la cual entrará en vigencia a partir del sexto día hábil siguiente de notificada la Resolución.</w:t>
      </w:r>
    </w:p>
    <w:p w:rsidR="00867EB5" w:rsidRPr="00203779" w:rsidRDefault="00867EB5" w:rsidP="00867EB5">
      <w:pPr>
        <w:pStyle w:val="Sangradetextonormal"/>
        <w:tabs>
          <w:tab w:val="num" w:pos="709"/>
          <w:tab w:val="left" w:pos="1985"/>
          <w:tab w:val="left" w:pos="2410"/>
        </w:tabs>
        <w:spacing w:after="0"/>
        <w:ind w:left="567"/>
        <w:jc w:val="both"/>
        <w:rPr>
          <w:rFonts w:ascii="Tahoma" w:hAnsi="Tahoma" w:cs="Tahoma"/>
          <w:b/>
          <w:sz w:val="22"/>
          <w:szCs w:val="22"/>
          <w:lang w:val="es-PE"/>
        </w:rPr>
      </w:pPr>
    </w:p>
    <w:p w:rsidR="00867EB5" w:rsidRPr="00203779" w:rsidRDefault="00867EB5" w:rsidP="00867EB5">
      <w:pPr>
        <w:pStyle w:val="Sangradetextonormal"/>
        <w:numPr>
          <w:ilvl w:val="0"/>
          <w:numId w:val="10"/>
        </w:numPr>
        <w:tabs>
          <w:tab w:val="num" w:pos="709"/>
          <w:tab w:val="left" w:pos="1985"/>
          <w:tab w:val="left" w:pos="2410"/>
        </w:tabs>
        <w:spacing w:after="0"/>
        <w:ind w:left="567"/>
        <w:jc w:val="both"/>
        <w:rPr>
          <w:rFonts w:ascii="Tahoma" w:hAnsi="Tahoma" w:cs="Tahoma"/>
          <w:b/>
          <w:sz w:val="22"/>
          <w:szCs w:val="22"/>
          <w:lang w:val="es-PE"/>
        </w:rPr>
      </w:pPr>
      <w:r w:rsidRPr="00203779">
        <w:rPr>
          <w:rFonts w:ascii="Tahoma" w:hAnsi="Tahoma" w:cs="Tahoma"/>
          <w:sz w:val="22"/>
          <w:szCs w:val="22"/>
        </w:rPr>
        <w:t xml:space="preserve">Comunicar la Resolución al Registro Nacional de Proveedores del Organismo Supervisor de las Contrataciones del Estado (OSCE). </w:t>
      </w:r>
    </w:p>
    <w:p w:rsidR="00867EB5" w:rsidRDefault="00867EB5" w:rsidP="00867EB5">
      <w:pPr>
        <w:pStyle w:val="Prrafodelista"/>
        <w:tabs>
          <w:tab w:val="num" w:pos="709"/>
        </w:tabs>
        <w:ind w:left="567"/>
        <w:rPr>
          <w:rFonts w:ascii="Tahoma" w:hAnsi="Tahoma" w:cs="Tahoma"/>
          <w:sz w:val="22"/>
          <w:szCs w:val="22"/>
        </w:rPr>
      </w:pPr>
    </w:p>
    <w:p w:rsidR="00867EB5" w:rsidRPr="00203779" w:rsidRDefault="00867EB5" w:rsidP="00867EB5">
      <w:pPr>
        <w:pStyle w:val="Sangradetextonormal"/>
        <w:numPr>
          <w:ilvl w:val="0"/>
          <w:numId w:val="10"/>
        </w:numPr>
        <w:tabs>
          <w:tab w:val="num" w:pos="709"/>
          <w:tab w:val="left" w:pos="1985"/>
          <w:tab w:val="left" w:pos="2410"/>
        </w:tabs>
        <w:spacing w:after="0"/>
        <w:ind w:left="567"/>
        <w:jc w:val="both"/>
        <w:rPr>
          <w:rFonts w:ascii="Tahoma" w:hAnsi="Tahoma" w:cs="Tahoma"/>
          <w:b/>
          <w:sz w:val="22"/>
          <w:szCs w:val="22"/>
          <w:lang w:val="es-PE"/>
        </w:rPr>
      </w:pPr>
      <w:r w:rsidRPr="00203779">
        <w:rPr>
          <w:rFonts w:ascii="Tahoma" w:hAnsi="Tahoma" w:cs="Tahoma"/>
          <w:sz w:val="22"/>
          <w:szCs w:val="22"/>
        </w:rPr>
        <w:t xml:space="preserve">Comunicar a la Presidencia Ejecutiva del Organismo Superior de Contrataciones del Estado (OSCE) los hechos expuestos, a fin que en uso de sus atribuciones adopte las medidas pertinentes. </w:t>
      </w:r>
    </w:p>
    <w:p w:rsidR="00867EB5" w:rsidRPr="00867EB5" w:rsidRDefault="00867EB5" w:rsidP="00867EB5">
      <w:pPr>
        <w:ind w:left="567"/>
        <w:jc w:val="both"/>
        <w:rPr>
          <w:rFonts w:ascii="Tahoma" w:hAnsi="Tahoma" w:cs="Tahoma"/>
          <w:sz w:val="20"/>
          <w:szCs w:val="20"/>
          <w:lang w:val="es-PE"/>
        </w:rPr>
      </w:pPr>
    </w:p>
    <w:p w:rsidR="00867EB5" w:rsidRPr="003D0A56" w:rsidRDefault="00867EB5" w:rsidP="00867EB5">
      <w:pPr>
        <w:pStyle w:val="Textoindependiente21"/>
        <w:ind w:firstLine="567"/>
        <w:rPr>
          <w:rFonts w:cs="Tahoma"/>
          <w:sz w:val="20"/>
        </w:rPr>
      </w:pPr>
      <w:r w:rsidRPr="003D0A56">
        <w:rPr>
          <w:rFonts w:cs="Tahoma"/>
          <w:sz w:val="20"/>
        </w:rPr>
        <w:t>Regístrese, comuníquese y publíquese.</w:t>
      </w:r>
    </w:p>
    <w:p w:rsidR="00867EB5" w:rsidRPr="003D0A56" w:rsidRDefault="00867EB5" w:rsidP="00867EB5">
      <w:pPr>
        <w:jc w:val="center"/>
        <w:rPr>
          <w:rFonts w:ascii="Tahoma" w:hAnsi="Tahoma" w:cs="Tahoma"/>
          <w:b/>
          <w:sz w:val="20"/>
          <w:szCs w:val="20"/>
        </w:rPr>
      </w:pPr>
    </w:p>
    <w:p w:rsidR="00867EB5" w:rsidRPr="003D0A56" w:rsidRDefault="00867EB5" w:rsidP="00867EB5">
      <w:pPr>
        <w:jc w:val="center"/>
        <w:rPr>
          <w:rFonts w:ascii="Tahoma" w:hAnsi="Tahoma" w:cs="Tahoma"/>
          <w:b/>
          <w:sz w:val="20"/>
          <w:szCs w:val="20"/>
        </w:rPr>
      </w:pPr>
    </w:p>
    <w:p w:rsidR="00867EB5" w:rsidRPr="003D0A56" w:rsidRDefault="00867EB5" w:rsidP="00867EB5">
      <w:pPr>
        <w:jc w:val="center"/>
        <w:rPr>
          <w:rFonts w:ascii="Tahoma" w:hAnsi="Tahoma" w:cs="Tahoma"/>
          <w:b/>
          <w:sz w:val="20"/>
          <w:szCs w:val="20"/>
        </w:rPr>
      </w:pPr>
    </w:p>
    <w:p w:rsidR="00867EB5" w:rsidRDefault="00867EB5" w:rsidP="00867EB5">
      <w:pPr>
        <w:jc w:val="center"/>
        <w:rPr>
          <w:rFonts w:ascii="Tahoma" w:hAnsi="Tahoma" w:cs="Tahoma"/>
          <w:b/>
          <w:sz w:val="20"/>
          <w:szCs w:val="20"/>
        </w:rPr>
      </w:pPr>
    </w:p>
    <w:p w:rsidR="00867EB5" w:rsidRDefault="00867EB5" w:rsidP="00867EB5">
      <w:pPr>
        <w:jc w:val="center"/>
        <w:rPr>
          <w:rFonts w:ascii="Tahoma" w:hAnsi="Tahoma" w:cs="Tahoma"/>
          <w:b/>
          <w:sz w:val="20"/>
          <w:szCs w:val="20"/>
        </w:rPr>
      </w:pPr>
    </w:p>
    <w:p w:rsidR="00867EB5" w:rsidRPr="003D0A56" w:rsidRDefault="00867EB5" w:rsidP="00867EB5">
      <w:pPr>
        <w:jc w:val="center"/>
        <w:rPr>
          <w:rFonts w:ascii="Tahoma" w:hAnsi="Tahoma" w:cs="Tahoma"/>
          <w:b/>
          <w:sz w:val="20"/>
          <w:szCs w:val="20"/>
        </w:rPr>
      </w:pPr>
    </w:p>
    <w:p w:rsidR="00867EB5" w:rsidRPr="003D0A56" w:rsidRDefault="00867EB5" w:rsidP="00867EB5">
      <w:pPr>
        <w:jc w:val="center"/>
        <w:rPr>
          <w:rFonts w:ascii="Tahoma" w:hAnsi="Tahoma" w:cs="Tahoma"/>
          <w:b/>
          <w:sz w:val="20"/>
          <w:szCs w:val="20"/>
        </w:rPr>
      </w:pPr>
    </w:p>
    <w:p w:rsidR="00867EB5" w:rsidRPr="003D0A56" w:rsidRDefault="00867EB5" w:rsidP="00867EB5">
      <w:pPr>
        <w:rPr>
          <w:rFonts w:ascii="Tahoma" w:hAnsi="Tahoma" w:cs="Tahoma"/>
          <w:b/>
          <w:sz w:val="20"/>
          <w:szCs w:val="20"/>
        </w:rPr>
      </w:pPr>
    </w:p>
    <w:p w:rsidR="00867EB5" w:rsidRPr="003D0A56" w:rsidRDefault="00867EB5" w:rsidP="00867EB5">
      <w:pPr>
        <w:jc w:val="center"/>
        <w:rPr>
          <w:rFonts w:ascii="Tahoma" w:hAnsi="Tahoma" w:cs="Tahoma"/>
          <w:b/>
          <w:shadow/>
          <w:sz w:val="20"/>
          <w:szCs w:val="20"/>
          <w:lang w:val="pt-BR"/>
        </w:rPr>
      </w:pPr>
      <w:r w:rsidRPr="003D0A56">
        <w:rPr>
          <w:rFonts w:ascii="Tahoma" w:hAnsi="Tahoma" w:cs="Tahoma"/>
          <w:b/>
          <w:shadow/>
          <w:sz w:val="20"/>
          <w:szCs w:val="20"/>
          <w:lang w:val="pt-BR"/>
        </w:rPr>
        <w:t>PRESIDENTE</w:t>
      </w:r>
    </w:p>
    <w:p w:rsidR="00867EB5" w:rsidRPr="003D0A56" w:rsidRDefault="00867EB5" w:rsidP="00867EB5">
      <w:pPr>
        <w:ind w:firstLine="708"/>
        <w:rPr>
          <w:rFonts w:ascii="Tahoma" w:hAnsi="Tahoma" w:cs="Tahoma"/>
          <w:b/>
          <w:shadow/>
          <w:sz w:val="20"/>
          <w:szCs w:val="20"/>
          <w:lang w:val="pt-BR"/>
        </w:rPr>
      </w:pPr>
    </w:p>
    <w:p w:rsidR="00867EB5" w:rsidRPr="003D0A56" w:rsidRDefault="00867EB5" w:rsidP="00867EB5">
      <w:pPr>
        <w:ind w:firstLine="708"/>
        <w:rPr>
          <w:rFonts w:ascii="Tahoma" w:hAnsi="Tahoma" w:cs="Tahoma"/>
          <w:b/>
          <w:shadow/>
          <w:sz w:val="20"/>
          <w:szCs w:val="20"/>
          <w:lang w:val="pt-BR"/>
        </w:rPr>
      </w:pPr>
      <w:r w:rsidRPr="003D0A56">
        <w:rPr>
          <w:rFonts w:ascii="Tahoma" w:hAnsi="Tahoma" w:cs="Tahoma"/>
          <w:b/>
          <w:shadow/>
          <w:sz w:val="20"/>
          <w:szCs w:val="20"/>
          <w:lang w:val="pt-BR"/>
        </w:rPr>
        <w:t xml:space="preserve">VOCAL           </w:t>
      </w:r>
      <w:r w:rsidRPr="003D0A56">
        <w:rPr>
          <w:rFonts w:ascii="Tahoma" w:hAnsi="Tahoma" w:cs="Tahoma"/>
          <w:b/>
          <w:shadow/>
          <w:sz w:val="20"/>
          <w:szCs w:val="20"/>
          <w:lang w:val="pt-BR"/>
        </w:rPr>
        <w:tab/>
      </w:r>
      <w:r w:rsidRPr="003D0A56">
        <w:rPr>
          <w:rFonts w:ascii="Tahoma" w:hAnsi="Tahoma" w:cs="Tahoma"/>
          <w:b/>
          <w:shadow/>
          <w:sz w:val="20"/>
          <w:szCs w:val="20"/>
          <w:lang w:val="pt-BR"/>
        </w:rPr>
        <w:tab/>
        <w:t xml:space="preserve">                                                                 VOCAL</w:t>
      </w:r>
    </w:p>
    <w:p w:rsidR="00867EB5" w:rsidRPr="003D0A56" w:rsidRDefault="00867EB5" w:rsidP="00867EB5">
      <w:pPr>
        <w:rPr>
          <w:rFonts w:ascii="Tahoma" w:hAnsi="Tahoma" w:cs="Tahoma"/>
          <w:sz w:val="20"/>
          <w:szCs w:val="20"/>
          <w:lang w:val="pt-BR"/>
        </w:rPr>
      </w:pPr>
    </w:p>
    <w:p w:rsidR="00867EB5" w:rsidRPr="003D0A56" w:rsidRDefault="00867EB5" w:rsidP="00867EB5">
      <w:pPr>
        <w:rPr>
          <w:rFonts w:ascii="Tahoma" w:hAnsi="Tahoma" w:cs="Tahoma"/>
          <w:sz w:val="20"/>
          <w:szCs w:val="20"/>
          <w:lang w:val="pt-BR"/>
        </w:rPr>
      </w:pPr>
    </w:p>
    <w:p w:rsidR="00867EB5" w:rsidRPr="003D0A56" w:rsidRDefault="00867EB5" w:rsidP="00867EB5">
      <w:pPr>
        <w:jc w:val="both"/>
        <w:rPr>
          <w:rFonts w:ascii="Tahoma" w:hAnsi="Tahoma" w:cs="Tahoma"/>
          <w:sz w:val="20"/>
          <w:szCs w:val="20"/>
          <w:lang w:val="pt-BR"/>
        </w:rPr>
      </w:pPr>
      <w:r w:rsidRPr="003D0A56">
        <w:rPr>
          <w:rFonts w:ascii="Tahoma" w:hAnsi="Tahoma" w:cs="Tahoma"/>
          <w:sz w:val="20"/>
          <w:szCs w:val="20"/>
          <w:lang w:val="pt-BR"/>
        </w:rPr>
        <w:t>ss.</w:t>
      </w:r>
    </w:p>
    <w:p w:rsidR="00867EB5" w:rsidRPr="003D0A56" w:rsidRDefault="00867EB5" w:rsidP="00867EB5">
      <w:pPr>
        <w:pStyle w:val="Textoindependiente21"/>
        <w:tabs>
          <w:tab w:val="left" w:pos="5250"/>
        </w:tabs>
        <w:rPr>
          <w:rFonts w:cs="Tahoma"/>
          <w:sz w:val="20"/>
          <w:lang w:val="pt-BR"/>
        </w:rPr>
      </w:pPr>
      <w:r w:rsidRPr="003D0A56">
        <w:rPr>
          <w:rFonts w:cs="Tahoma"/>
          <w:sz w:val="20"/>
          <w:lang w:val="pt-BR"/>
        </w:rPr>
        <w:t>Navas Rondón.</w:t>
      </w:r>
    </w:p>
    <w:p w:rsidR="00867EB5" w:rsidRPr="003D0A56" w:rsidRDefault="00867EB5" w:rsidP="00867EB5">
      <w:pPr>
        <w:pStyle w:val="Textoindependiente21"/>
        <w:tabs>
          <w:tab w:val="left" w:pos="5250"/>
        </w:tabs>
        <w:rPr>
          <w:rFonts w:cs="Tahoma"/>
          <w:sz w:val="20"/>
          <w:lang w:val="pt-BR"/>
        </w:rPr>
      </w:pPr>
      <w:r w:rsidRPr="003D0A56">
        <w:rPr>
          <w:rFonts w:cs="Tahoma"/>
          <w:sz w:val="20"/>
        </w:rPr>
        <w:t>Ramírez Maynetto.</w:t>
      </w:r>
    </w:p>
    <w:p w:rsidR="00867EB5" w:rsidRPr="003D0A56" w:rsidRDefault="00867EB5" w:rsidP="00867EB5">
      <w:pPr>
        <w:pStyle w:val="Textoindependiente21"/>
        <w:tabs>
          <w:tab w:val="left" w:pos="5250"/>
        </w:tabs>
        <w:rPr>
          <w:rFonts w:cs="Tahoma"/>
          <w:sz w:val="20"/>
          <w:lang w:val="pt-BR"/>
        </w:rPr>
      </w:pPr>
      <w:r w:rsidRPr="003D0A56">
        <w:rPr>
          <w:rFonts w:cs="Tahoma"/>
          <w:sz w:val="20"/>
          <w:lang w:val="pt-BR"/>
        </w:rPr>
        <w:t>Basulto Liewald.</w:t>
      </w:r>
    </w:p>
    <w:p w:rsidR="001D5C36" w:rsidRDefault="00CB3722"/>
    <w:sectPr w:rsidR="001D5C36"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3722" w:rsidRDefault="00CB3722" w:rsidP="00867EB5">
      <w:r>
        <w:separator/>
      </w:r>
    </w:p>
  </w:endnote>
  <w:endnote w:type="continuationSeparator" w:id="1">
    <w:p w:rsidR="00CB3722" w:rsidRDefault="00CB3722" w:rsidP="00867EB5">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D50507">
            <w:pPr>
              <w:pStyle w:val="Piedepgina"/>
              <w:jc w:val="center"/>
            </w:pPr>
            <w:r>
              <w:t xml:space="preserve">Página </w:t>
            </w:r>
            <w:r w:rsidR="000672BE">
              <w:rPr>
                <w:b/>
              </w:rPr>
              <w:fldChar w:fldCharType="begin"/>
            </w:r>
            <w:r>
              <w:rPr>
                <w:b/>
              </w:rPr>
              <w:instrText>PAGE</w:instrText>
            </w:r>
            <w:r w:rsidR="000672BE">
              <w:rPr>
                <w:b/>
              </w:rPr>
              <w:fldChar w:fldCharType="separate"/>
            </w:r>
            <w:r w:rsidR="00C1180C">
              <w:rPr>
                <w:b/>
                <w:noProof/>
              </w:rPr>
              <w:t>1</w:t>
            </w:r>
            <w:r w:rsidR="000672BE">
              <w:rPr>
                <w:b/>
              </w:rPr>
              <w:fldChar w:fldCharType="end"/>
            </w:r>
            <w:r>
              <w:t xml:space="preserve"> de </w:t>
            </w:r>
            <w:r w:rsidR="000672BE">
              <w:rPr>
                <w:b/>
              </w:rPr>
              <w:fldChar w:fldCharType="begin"/>
            </w:r>
            <w:r>
              <w:rPr>
                <w:b/>
              </w:rPr>
              <w:instrText>NUMPAGES</w:instrText>
            </w:r>
            <w:r w:rsidR="000672BE">
              <w:rPr>
                <w:b/>
              </w:rPr>
              <w:fldChar w:fldCharType="separate"/>
            </w:r>
            <w:r w:rsidR="00C1180C">
              <w:rPr>
                <w:b/>
                <w:noProof/>
              </w:rPr>
              <w:t>9</w:t>
            </w:r>
            <w:r w:rsidR="000672BE">
              <w:rPr>
                <w:b/>
              </w:rPr>
              <w:fldChar w:fldCharType="end"/>
            </w:r>
          </w:p>
        </w:sdtContent>
      </w:sdt>
    </w:sdtContent>
  </w:sdt>
  <w:p w:rsidR="0035353E" w:rsidRDefault="00CB3722">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3722" w:rsidRDefault="00CB3722" w:rsidP="00867EB5">
      <w:r>
        <w:separator/>
      </w:r>
    </w:p>
  </w:footnote>
  <w:footnote w:type="continuationSeparator" w:id="1">
    <w:p w:rsidR="00CB3722" w:rsidRDefault="00CB3722" w:rsidP="00867EB5">
      <w:r>
        <w:continuationSeparator/>
      </w:r>
    </w:p>
  </w:footnote>
  <w:footnote w:id="2">
    <w:p w:rsidR="00867EB5" w:rsidRPr="004171F8" w:rsidRDefault="00867EB5" w:rsidP="00867EB5">
      <w:pPr>
        <w:pStyle w:val="Textonotapie"/>
        <w:jc w:val="both"/>
        <w:rPr>
          <w:rFonts w:ascii="Tahoma" w:hAnsi="Tahoma" w:cs="Tahoma"/>
          <w:sz w:val="18"/>
          <w:szCs w:val="18"/>
        </w:rPr>
      </w:pPr>
      <w:r w:rsidRPr="004171F8">
        <w:rPr>
          <w:rStyle w:val="Refdenotaalpie"/>
          <w:rFonts w:ascii="Tahoma" w:hAnsi="Tahoma" w:cs="Tahoma"/>
          <w:sz w:val="18"/>
          <w:szCs w:val="18"/>
        </w:rPr>
        <w:footnoteRef/>
      </w:r>
      <w:r w:rsidRPr="004171F8">
        <w:rPr>
          <w:rFonts w:ascii="Tahoma" w:hAnsi="Tahoma" w:cs="Tahoma"/>
          <w:sz w:val="18"/>
          <w:szCs w:val="18"/>
        </w:rPr>
        <w:t xml:space="preserve"> Aprobado por Resolución de Superintendencia Nº 007-99-SUNAT</w:t>
      </w:r>
      <w:r>
        <w:rPr>
          <w:rFonts w:ascii="Tahoma" w:hAnsi="Tahoma" w:cs="Tahoma"/>
          <w:sz w:val="18"/>
          <w:szCs w:val="18"/>
        </w:rPr>
        <w:t>.</w:t>
      </w:r>
    </w:p>
  </w:footnote>
  <w:footnote w:id="3">
    <w:p w:rsidR="00867EB5" w:rsidRPr="00255353" w:rsidRDefault="00867EB5" w:rsidP="00867EB5">
      <w:pPr>
        <w:pStyle w:val="Textonotapie"/>
        <w:jc w:val="both"/>
        <w:rPr>
          <w:rFonts w:ascii="Tahoma" w:hAnsi="Tahoma" w:cs="Tahoma"/>
          <w:sz w:val="18"/>
          <w:szCs w:val="18"/>
        </w:rPr>
      </w:pPr>
      <w:r w:rsidRPr="00255353">
        <w:rPr>
          <w:rStyle w:val="Refdenotaalpie"/>
          <w:rFonts w:ascii="Tahoma" w:hAnsi="Tahoma" w:cs="Tahoma"/>
          <w:sz w:val="18"/>
          <w:szCs w:val="18"/>
        </w:rPr>
        <w:footnoteRef/>
      </w:r>
      <w:r w:rsidRPr="00255353">
        <w:rPr>
          <w:rFonts w:ascii="Tahoma" w:hAnsi="Tahoma" w:cs="Tahoma"/>
          <w:sz w:val="18"/>
          <w:szCs w:val="18"/>
        </w:rPr>
        <w:t xml:space="preserve"> </w:t>
      </w:r>
      <w:r>
        <w:rPr>
          <w:rFonts w:ascii="Tahoma" w:hAnsi="Tahoma" w:cs="Tahoma"/>
          <w:sz w:val="18"/>
          <w:szCs w:val="18"/>
        </w:rPr>
        <w:t>E</w:t>
      </w:r>
      <w:r w:rsidRPr="00255353">
        <w:rPr>
          <w:rFonts w:ascii="Tahoma" w:hAnsi="Tahoma" w:cs="Tahoma"/>
          <w:sz w:val="18"/>
          <w:szCs w:val="18"/>
        </w:rPr>
        <w:t>sas facturas no fueron emitidas realmente por ningún servicio prestado, sino que aparentemente, habrían querido sustentar una experiencia real pero cuyos comprobantes se perdieron.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80C" w:rsidRDefault="00C1180C" w:rsidP="00C1180C">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C1180C" w:rsidRDefault="00C1180C" w:rsidP="00C1180C">
    <w:pPr>
      <w:pStyle w:val="Encabezado"/>
      <w:rPr>
        <w:noProof/>
      </w:rPr>
    </w:pPr>
  </w:p>
  <w:p w:rsidR="00C1180C" w:rsidRDefault="00C1180C" w:rsidP="00C1180C">
    <w:pPr>
      <w:pStyle w:val="Encabezado"/>
      <w:jc w:val="center"/>
      <w:rPr>
        <w:rFonts w:ascii="Monotype Corsiva" w:hAnsi="Monotype Corsiva"/>
        <w:b/>
        <w:sz w:val="44"/>
        <w:szCs w:val="44"/>
      </w:rPr>
    </w:pPr>
  </w:p>
  <w:p w:rsidR="00C1180C" w:rsidRDefault="00C1180C" w:rsidP="00C1180C">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1206-2011-TC-S1</w:t>
    </w:r>
  </w:p>
  <w:p w:rsidR="00C1180C" w:rsidRDefault="00C1180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85A4499E"/>
    <w:lvl w:ilvl="0" w:tplc="B78E665A">
      <w:start w:val="1"/>
      <w:numFmt w:val="decimal"/>
      <w:lvlText w:val="%1."/>
      <w:lvlJc w:val="left"/>
      <w:pPr>
        <w:ind w:left="720" w:hanging="360"/>
      </w:pPr>
      <w:rPr>
        <w:rFonts w:ascii="Tahoma" w:hAnsi="Tahoma" w:cs="Tahoma" w:hint="default"/>
        <w:b/>
        <w:i w:val="0"/>
        <w:sz w:val="20"/>
        <w:szCs w:val="2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0916453D"/>
    <w:multiLevelType w:val="hybridMultilevel"/>
    <w:tmpl w:val="3F168A50"/>
    <w:lvl w:ilvl="0" w:tplc="92461B3C">
      <w:start w:val="1"/>
      <w:numFmt w:val="decimal"/>
      <w:lvlText w:val="%1."/>
      <w:lvlJc w:val="left"/>
      <w:pPr>
        <w:ind w:left="1120" w:hanging="360"/>
      </w:pPr>
      <w:rPr>
        <w:b/>
      </w:r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2">
    <w:nsid w:val="2D81651B"/>
    <w:multiLevelType w:val="hybridMultilevel"/>
    <w:tmpl w:val="372054D4"/>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nsid w:val="38DD31EB"/>
    <w:multiLevelType w:val="hybridMultilevel"/>
    <w:tmpl w:val="083E7862"/>
    <w:lvl w:ilvl="0" w:tplc="B6CC3C34">
      <w:start w:val="1"/>
      <w:numFmt w:val="decimal"/>
      <w:lvlText w:val="%1."/>
      <w:lvlJc w:val="left"/>
      <w:pPr>
        <w:ind w:left="1260" w:hanging="360"/>
      </w:pPr>
      <w:rPr>
        <w:rFonts w:hint="default"/>
        <w:b/>
      </w:r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4">
    <w:nsid w:val="43E60EAE"/>
    <w:multiLevelType w:val="hybridMultilevel"/>
    <w:tmpl w:val="F7366BC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4594036C"/>
    <w:multiLevelType w:val="multilevel"/>
    <w:tmpl w:val="C3FAF9B2"/>
    <w:lvl w:ilvl="0">
      <w:start w:val="1"/>
      <w:numFmt w:val="decimal"/>
      <w:pStyle w:val="Listaconvietas3"/>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7B8113D"/>
    <w:multiLevelType w:val="hybridMultilevel"/>
    <w:tmpl w:val="8E6C56A2"/>
    <w:lvl w:ilvl="0" w:tplc="0F86F32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7">
    <w:nsid w:val="54657FBB"/>
    <w:multiLevelType w:val="hybridMultilevel"/>
    <w:tmpl w:val="6DA84DC2"/>
    <w:lvl w:ilvl="0" w:tplc="65144582">
      <w:start w:val="1"/>
      <w:numFmt w:val="decimal"/>
      <w:lvlText w:val="%1."/>
      <w:lvlJc w:val="left"/>
      <w:pPr>
        <w:ind w:left="644" w:hanging="360"/>
      </w:pPr>
      <w:rPr>
        <w:rFonts w:ascii="Tahoma" w:hAnsi="Tahoma" w:cs="Tahoma" w:hint="default"/>
        <w:b/>
        <w:i w:val="0"/>
        <w:sz w:val="22"/>
        <w:szCs w:val="22"/>
        <w:lang w:val="es-PE"/>
      </w:rPr>
    </w:lvl>
    <w:lvl w:ilvl="1" w:tplc="0C0A0019" w:tentative="1">
      <w:start w:val="1"/>
      <w:numFmt w:val="lowerLetter"/>
      <w:lvlText w:val="%2."/>
      <w:lvlJc w:val="left"/>
      <w:pPr>
        <w:ind w:left="1582" w:hanging="360"/>
      </w:pPr>
    </w:lvl>
    <w:lvl w:ilvl="2" w:tplc="0C0A001B" w:tentative="1">
      <w:start w:val="1"/>
      <w:numFmt w:val="lowerRoman"/>
      <w:lvlText w:val="%3."/>
      <w:lvlJc w:val="right"/>
      <w:pPr>
        <w:ind w:left="2302" w:hanging="180"/>
      </w:pPr>
    </w:lvl>
    <w:lvl w:ilvl="3" w:tplc="0C0A000F" w:tentative="1">
      <w:start w:val="1"/>
      <w:numFmt w:val="decimal"/>
      <w:lvlText w:val="%4."/>
      <w:lvlJc w:val="left"/>
      <w:pPr>
        <w:ind w:left="3022" w:hanging="360"/>
      </w:pPr>
    </w:lvl>
    <w:lvl w:ilvl="4" w:tplc="0C0A0019" w:tentative="1">
      <w:start w:val="1"/>
      <w:numFmt w:val="lowerLetter"/>
      <w:lvlText w:val="%5."/>
      <w:lvlJc w:val="left"/>
      <w:pPr>
        <w:ind w:left="3742" w:hanging="360"/>
      </w:pPr>
    </w:lvl>
    <w:lvl w:ilvl="5" w:tplc="0C0A001B" w:tentative="1">
      <w:start w:val="1"/>
      <w:numFmt w:val="lowerRoman"/>
      <w:lvlText w:val="%6."/>
      <w:lvlJc w:val="right"/>
      <w:pPr>
        <w:ind w:left="4462" w:hanging="180"/>
      </w:pPr>
    </w:lvl>
    <w:lvl w:ilvl="6" w:tplc="0C0A000F" w:tentative="1">
      <w:start w:val="1"/>
      <w:numFmt w:val="decimal"/>
      <w:lvlText w:val="%7."/>
      <w:lvlJc w:val="left"/>
      <w:pPr>
        <w:ind w:left="5182" w:hanging="360"/>
      </w:pPr>
    </w:lvl>
    <w:lvl w:ilvl="7" w:tplc="0C0A0019" w:tentative="1">
      <w:start w:val="1"/>
      <w:numFmt w:val="lowerLetter"/>
      <w:lvlText w:val="%8."/>
      <w:lvlJc w:val="left"/>
      <w:pPr>
        <w:ind w:left="5902" w:hanging="360"/>
      </w:pPr>
    </w:lvl>
    <w:lvl w:ilvl="8" w:tplc="0C0A001B" w:tentative="1">
      <w:start w:val="1"/>
      <w:numFmt w:val="lowerRoman"/>
      <w:lvlText w:val="%9."/>
      <w:lvlJc w:val="right"/>
      <w:pPr>
        <w:ind w:left="6622" w:hanging="180"/>
      </w:pPr>
    </w:lvl>
  </w:abstractNum>
  <w:abstractNum w:abstractNumId="8">
    <w:nsid w:val="5A4721B8"/>
    <w:multiLevelType w:val="hybridMultilevel"/>
    <w:tmpl w:val="A61C21DE"/>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9">
    <w:nsid w:val="796574BD"/>
    <w:multiLevelType w:val="hybridMultilevel"/>
    <w:tmpl w:val="6E8E98AC"/>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num w:numId="1">
    <w:abstractNumId w:val="0"/>
  </w:num>
  <w:num w:numId="2">
    <w:abstractNumId w:val="6"/>
  </w:num>
  <w:num w:numId="3">
    <w:abstractNumId w:val="9"/>
  </w:num>
  <w:num w:numId="4">
    <w:abstractNumId w:val="8"/>
  </w:num>
  <w:num w:numId="5">
    <w:abstractNumId w:val="2"/>
  </w:num>
  <w:num w:numId="6">
    <w:abstractNumId w:val="3"/>
  </w:num>
  <w:num w:numId="7">
    <w:abstractNumId w:val="4"/>
  </w:num>
  <w:num w:numId="8">
    <w:abstractNumId w:val="5"/>
  </w:num>
  <w:num w:numId="9">
    <w:abstractNumId w:val="7"/>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7"/>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867EB5"/>
    <w:rsid w:val="000672BE"/>
    <w:rsid w:val="000D68E9"/>
    <w:rsid w:val="00196655"/>
    <w:rsid w:val="00405814"/>
    <w:rsid w:val="00496AD0"/>
    <w:rsid w:val="00716269"/>
    <w:rsid w:val="00867EB5"/>
    <w:rsid w:val="00C1180C"/>
    <w:rsid w:val="00CB3722"/>
    <w:rsid w:val="00D50507"/>
    <w:rsid w:val="00F9032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B5"/>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867EB5"/>
    <w:pPr>
      <w:spacing w:after="120"/>
    </w:pPr>
    <w:rPr>
      <w:sz w:val="16"/>
      <w:szCs w:val="16"/>
      <w:lang w:val="es-PE"/>
    </w:rPr>
  </w:style>
  <w:style w:type="character" w:customStyle="1" w:styleId="Textoindependiente3Car">
    <w:name w:val="Texto independiente 3 Car"/>
    <w:basedOn w:val="Fuentedeprrafopredeter"/>
    <w:link w:val="Textoindependiente3"/>
    <w:rsid w:val="00867EB5"/>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867EB5"/>
    <w:pPr>
      <w:jc w:val="both"/>
    </w:pPr>
    <w:rPr>
      <w:rFonts w:ascii="Tahoma" w:hAnsi="Tahoma"/>
      <w:sz w:val="22"/>
      <w:szCs w:val="20"/>
    </w:rPr>
  </w:style>
  <w:style w:type="paragraph" w:styleId="Prrafodelista">
    <w:name w:val="List Paragraph"/>
    <w:basedOn w:val="Normal"/>
    <w:uiPriority w:val="99"/>
    <w:qFormat/>
    <w:rsid w:val="00867EB5"/>
    <w:pPr>
      <w:widowControl w:val="0"/>
      <w:suppressAutoHyphens/>
      <w:ind w:left="708"/>
    </w:pPr>
    <w:rPr>
      <w:szCs w:val="20"/>
      <w:lang w:val="es-ES_tradnl"/>
    </w:rPr>
  </w:style>
  <w:style w:type="paragraph" w:styleId="Piedepgina">
    <w:name w:val="footer"/>
    <w:basedOn w:val="Normal"/>
    <w:link w:val="PiedepginaCar"/>
    <w:uiPriority w:val="99"/>
    <w:unhideWhenUsed/>
    <w:rsid w:val="00867EB5"/>
    <w:pPr>
      <w:tabs>
        <w:tab w:val="center" w:pos="4252"/>
        <w:tab w:val="right" w:pos="8504"/>
      </w:tabs>
    </w:pPr>
  </w:style>
  <w:style w:type="character" w:customStyle="1" w:styleId="PiedepginaCar">
    <w:name w:val="Pie de página Car"/>
    <w:basedOn w:val="Fuentedeprrafopredeter"/>
    <w:link w:val="Piedepgina"/>
    <w:uiPriority w:val="99"/>
    <w:rsid w:val="00867EB5"/>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 Car2 Car1 Car, Car Car Car, Car1,Car1 Car Car,Car1 Car,Texto independiente2"/>
    <w:basedOn w:val="Normal"/>
    <w:link w:val="TextonotapieCar"/>
    <w:uiPriority w:val="99"/>
    <w:rsid w:val="00867EB5"/>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 Car1 Car1"/>
    <w:basedOn w:val="Fuentedeprrafopredeter"/>
    <w:link w:val="Textonotapie"/>
    <w:uiPriority w:val="99"/>
    <w:rsid w:val="00867EB5"/>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867EB5"/>
    <w:rPr>
      <w:rFonts w:cs="Times New Roman"/>
      <w:vertAlign w:val="superscript"/>
    </w:rPr>
  </w:style>
  <w:style w:type="character" w:styleId="Textoennegrita">
    <w:name w:val="Strong"/>
    <w:basedOn w:val="Fuentedeprrafopredeter"/>
    <w:uiPriority w:val="22"/>
    <w:qFormat/>
    <w:rsid w:val="00867EB5"/>
    <w:rPr>
      <w:b/>
      <w:bCs/>
    </w:rPr>
  </w:style>
  <w:style w:type="character" w:styleId="Hipervnculo">
    <w:name w:val="Hyperlink"/>
    <w:basedOn w:val="Fuentedeprrafopredeter"/>
    <w:uiPriority w:val="99"/>
    <w:semiHidden/>
    <w:unhideWhenUsed/>
    <w:rsid w:val="00867EB5"/>
    <w:rPr>
      <w:color w:val="0000FF"/>
      <w:u w:val="single"/>
    </w:rPr>
  </w:style>
  <w:style w:type="paragraph" w:styleId="Textodeglobo">
    <w:name w:val="Balloon Text"/>
    <w:basedOn w:val="Normal"/>
    <w:link w:val="TextodegloboCar"/>
    <w:uiPriority w:val="99"/>
    <w:semiHidden/>
    <w:unhideWhenUsed/>
    <w:rsid w:val="00867EB5"/>
    <w:rPr>
      <w:rFonts w:ascii="Tahoma" w:hAnsi="Tahoma" w:cs="Tahoma"/>
      <w:sz w:val="16"/>
      <w:szCs w:val="16"/>
    </w:rPr>
  </w:style>
  <w:style w:type="character" w:customStyle="1" w:styleId="TextodegloboCar">
    <w:name w:val="Texto de globo Car"/>
    <w:basedOn w:val="Fuentedeprrafopredeter"/>
    <w:link w:val="Textodeglobo"/>
    <w:uiPriority w:val="99"/>
    <w:semiHidden/>
    <w:rsid w:val="00867EB5"/>
    <w:rPr>
      <w:rFonts w:ascii="Tahoma" w:eastAsia="Times New Roman" w:hAnsi="Tahoma" w:cs="Tahoma"/>
      <w:sz w:val="16"/>
      <w:szCs w:val="16"/>
      <w:lang w:eastAsia="es-ES"/>
    </w:rPr>
  </w:style>
  <w:style w:type="paragraph" w:styleId="Sangradetextonormal">
    <w:name w:val="Body Text Indent"/>
    <w:basedOn w:val="Normal"/>
    <w:link w:val="SangradetextonormalCar"/>
    <w:uiPriority w:val="99"/>
    <w:rsid w:val="00867EB5"/>
    <w:pPr>
      <w:spacing w:after="120"/>
      <w:ind w:left="283"/>
    </w:pPr>
  </w:style>
  <w:style w:type="character" w:customStyle="1" w:styleId="SangradetextonormalCar">
    <w:name w:val="Sangría de texto normal Car"/>
    <w:basedOn w:val="Fuentedeprrafopredeter"/>
    <w:link w:val="Sangradetextonormal"/>
    <w:uiPriority w:val="99"/>
    <w:rsid w:val="00867EB5"/>
    <w:rPr>
      <w:rFonts w:ascii="Times New Roman" w:eastAsia="Times New Roman" w:hAnsi="Times New Roman" w:cs="Times New Roman"/>
      <w:sz w:val="24"/>
      <w:szCs w:val="24"/>
      <w:lang w:eastAsia="es-ES"/>
    </w:rPr>
  </w:style>
  <w:style w:type="paragraph" w:styleId="Listaconvietas3">
    <w:name w:val="List Bullet 3"/>
    <w:basedOn w:val="Normal"/>
    <w:autoRedefine/>
    <w:rsid w:val="00867EB5"/>
    <w:pPr>
      <w:widowControl w:val="0"/>
      <w:numPr>
        <w:numId w:val="8"/>
      </w:numPr>
      <w:ind w:left="567" w:right="-3" w:hanging="567"/>
      <w:jc w:val="both"/>
    </w:pPr>
    <w:rPr>
      <w:rFonts w:ascii="Tahoma" w:hAnsi="Tahoma" w:cs="Tahoma"/>
      <w:sz w:val="20"/>
      <w:szCs w:val="20"/>
      <w:lang w:val="es-PE"/>
    </w:rPr>
  </w:style>
  <w:style w:type="paragraph" w:styleId="Encabezado">
    <w:name w:val="header"/>
    <w:aliases w:val="maria,h"/>
    <w:basedOn w:val="Normal"/>
    <w:link w:val="EncabezadoCar"/>
    <w:uiPriority w:val="99"/>
    <w:semiHidden/>
    <w:unhideWhenUsed/>
    <w:rsid w:val="00C1180C"/>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C1180C"/>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39658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9</Pages>
  <Words>3831</Words>
  <Characters>21074</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3</cp:revision>
  <cp:lastPrinted>2011-07-12T14:45:00Z</cp:lastPrinted>
  <dcterms:created xsi:type="dcterms:W3CDTF">2011-07-12T14:20:00Z</dcterms:created>
  <dcterms:modified xsi:type="dcterms:W3CDTF">2011-08-18T14:43:00Z</dcterms:modified>
</cp:coreProperties>
</file>